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570" w:beforeAutospacing="0" w:after="226" w:afterAutospacing="0"/>
        <w:ind w:left="270" w:right="0"/>
        <w:jc w:val="center"/>
        <w:rPr>
          <w:rFonts w:ascii="微软雅黑" w:hAnsi="微软雅黑" w:eastAsia="微软雅黑" w:cs="微软雅黑"/>
          <w:b/>
          <w:bCs/>
          <w:color w:val="2D66A5"/>
          <w:sz w:val="48"/>
          <w:szCs w:val="48"/>
        </w:rPr>
      </w:pPr>
      <w:r>
        <w:rPr>
          <w:rFonts w:hint="eastAsia" w:ascii="微软雅黑" w:hAnsi="微软雅黑" w:eastAsia="微软雅黑" w:cs="微软雅黑"/>
          <w:b/>
          <w:bCs/>
          <w:i w:val="0"/>
          <w:iCs w:val="0"/>
          <w:caps w:val="0"/>
          <w:color w:val="2D66A5"/>
          <w:spacing w:val="0"/>
          <w:sz w:val="48"/>
          <w:szCs w:val="48"/>
          <w:bdr w:val="none" w:color="auto" w:sz="0" w:space="0"/>
          <w:shd w:val="clear" w:fill="FFFFFF"/>
        </w:rPr>
        <w:t>国有土地上房屋征收评估办法</w:t>
      </w:r>
    </w:p>
    <w:p>
      <w:pPr>
        <w:keepNext w:val="0"/>
        <w:keepLines w:val="0"/>
        <w:widowControl/>
        <w:suppressLineNumbers w:val="0"/>
        <w:pBdr>
          <w:top w:val="none" w:color="auto" w:sz="0" w:space="0"/>
          <w:left w:val="none" w:color="auto" w:sz="0" w:space="0"/>
          <w:bottom w:val="single" w:color="F7F7F7" w:sz="18" w:space="0"/>
          <w:right w:val="none" w:color="auto" w:sz="0" w:space="0"/>
        </w:pBdr>
        <w:shd w:val="clear" w:fill="FFFFFF"/>
        <w:wordWrap w:val="0"/>
        <w:spacing w:before="0" w:beforeAutospacing="0" w:after="300" w:afterAutospacing="0"/>
        <w:ind w:left="270" w:right="0" w:firstLine="0"/>
        <w:jc w:val="center"/>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发布时间: 2023-04-18 19:11 字体:[</w:t>
      </w:r>
      <w:r>
        <w:rPr>
          <w:rStyle w:val="6"/>
          <w:rFonts w:hint="eastAsia" w:ascii="微软雅黑" w:hAnsi="微软雅黑" w:eastAsia="微软雅黑" w:cs="微软雅黑"/>
          <w:i w:val="0"/>
          <w:iCs w:val="0"/>
          <w:caps w:val="0"/>
          <w:color w:val="333333"/>
          <w:spacing w:val="0"/>
          <w:kern w:val="0"/>
          <w:sz w:val="15"/>
          <w:szCs w:val="15"/>
          <w:shd w:val="clear" w:fill="FFFFFF"/>
          <w:lang w:val="en-US" w:eastAsia="zh-CN" w:bidi="ar"/>
        </w:rPr>
        <w:t>小</w:t>
      </w:r>
      <w:r>
        <w:rPr>
          <w:rStyle w:val="6"/>
          <w:rFonts w:hint="eastAsia" w:ascii="微软雅黑" w:hAnsi="微软雅黑" w:eastAsia="微软雅黑" w:cs="微软雅黑"/>
          <w:i w:val="0"/>
          <w:iCs w:val="0"/>
          <w:caps w:val="0"/>
          <w:color w:val="333333"/>
          <w:spacing w:val="0"/>
          <w:kern w:val="0"/>
          <w:sz w:val="21"/>
          <w:szCs w:val="21"/>
          <w:shd w:val="clear" w:fill="FFFFFF"/>
          <w:lang w:val="en-US" w:eastAsia="zh-CN" w:bidi="ar"/>
        </w:rPr>
        <w:t>中</w:t>
      </w:r>
      <w:r>
        <w:rPr>
          <w:rStyle w:val="6"/>
          <w:rFonts w:hint="eastAsia" w:ascii="微软雅黑" w:hAnsi="微软雅黑" w:eastAsia="微软雅黑" w:cs="微软雅黑"/>
          <w:i w:val="0"/>
          <w:iCs w:val="0"/>
          <w:caps w:val="0"/>
          <w:color w:val="333333"/>
          <w:spacing w:val="0"/>
          <w:kern w:val="0"/>
          <w:sz w:val="24"/>
          <w:szCs w:val="24"/>
          <w:shd w:val="clear" w:fill="FFFFFF"/>
          <w:lang w:val="en-US" w:eastAsia="zh-CN" w:bidi="ar"/>
        </w:rPr>
        <w:t>大</w:t>
      </w:r>
      <w:r>
        <w:rPr>
          <w:rFonts w:hint="eastAsia" w:ascii="微软雅黑" w:hAnsi="微软雅黑" w:eastAsia="微软雅黑" w:cs="微软雅黑"/>
          <w:i w:val="0"/>
          <w:iCs w:val="0"/>
          <w:caps w:val="0"/>
          <w:color w:val="333333"/>
          <w:spacing w:val="0"/>
          <w:kern w:val="0"/>
          <w:sz w:val="22"/>
          <w:szCs w:val="22"/>
          <w:bdr w:val="none" w:color="auto" w:sz="0" w:space="0"/>
          <w:shd w:val="clear" w:fill="FFFFFF"/>
          <w:lang w:val="en-US" w:eastAsia="zh-CN" w:bidi="ar"/>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50" w:lineRule="atLeast"/>
        <w:ind w:left="270" w:right="0"/>
        <w:jc w:val="left"/>
        <w:rPr>
          <w:sz w:val="31"/>
          <w:szCs w:val="31"/>
        </w:rPr>
      </w:pPr>
      <w:r>
        <w:rPr>
          <w:rFonts w:ascii="仿宋_GB2312" w:hAnsi="微软雅黑" w:eastAsia="仿宋_GB2312" w:cs="仿宋_GB2312"/>
          <w:b/>
          <w:bCs/>
          <w:i w:val="0"/>
          <w:iCs w:val="0"/>
          <w:caps w:val="0"/>
          <w:color w:val="333333"/>
          <w:spacing w:val="0"/>
          <w:sz w:val="31"/>
          <w:szCs w:val="31"/>
          <w:bdr w:val="none" w:color="auto" w:sz="0" w:space="0"/>
          <w:shd w:val="clear" w:fill="FFFFFF"/>
        </w:rPr>
        <w:t>   </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第一条 为规范国有土地上房屋征收评估活动，保证房屋征收评估结果客观公平，根据《国有土地上房屋征收与补偿条例》，制定本办法。</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    第二条 评估国有土地上被征收房屋和用于产权调换房屋的价值，测算被征收房屋类似房地产的市场价格，以及对相关评估结果进行复核评估和鉴定，适用本办法。</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    第三条 房地产价格评估机构、房地产估价师、房地产价格评估专家委员会（以下称评估专家委员会）成员应当独立、客观、公正地开展房屋征收评估、鉴定工作，并对出具的评估、鉴定意见负责。</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任何单位和个人不得干预房屋征收评估、鉴定活动。与房屋征收当事人有利害关系的，应当回避。</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四条 房地产价格评估机构由被征收人在规定时间内协商选定；在规定时间内协商不成的，由房屋征收部门通过组织被征收人按照少数服从多数的原则投票决定，或者采取摇号、抽签等随机方式确定。具体办法由省、自治区、直辖市制定。</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房地产价格评估机构不得采取迎合征收当事人不当要求、虚假宣传、恶意低收费等不正当手段承揽房屋征收评估业务。</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    第五条 同一征收项目的房屋征收评估工作，原则上由一家房地产价格评估机构承担。房屋征收范围较大的，可以由两家以上房地产价格评估机构共同承担。</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两家以上房地产价格评估机构承担的，应当共同协商确定一家房地产价格评估机构为牵头单位；牵头单位应当组织相关房地产价格评估机构就评估对象、评估时点、价值内涵、评估依据、评估假设、评估原则、评估技术路线、评估方法、重要参数选取、评估结果确定方式等进行沟通，统一标准。</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    第六条 房地产价格评估机构选定或者确定后，一般由房屋征收部门作为委托人，向房地产价格评估机构出具房屋征收评估委托书，并与其签订房屋征收评估委托合同。</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房屋征收评估委托书应当载明委托人的名称、委托的房地产价格评估机构的名称、评估目的、评估对象范围、评估要求以及委托日期等内容。</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房屋征收评估委托合同应当载明下列事项：</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（一）委托人和房地产价格评估机构的基本情况；</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（二）负责本评估项目的注册房地产估价师；</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（三）评估目的、评估对象、评估时点等评估基本事项；</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（四）委托人应提供的评估所需资料；</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（五）评估过程中双方的权利和义务；</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（六）评估费用及收取方式；</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（七）评估报告交付时间、方式；</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（八）违约责任；</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（九）解决争议的方法；</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（十）其他需要载明的事项。</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    第七条 房地产价格评估机构应当指派与房屋征收评估项目工作量相适应的足够数量的注册房地产估价师开展评估工作。</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房地产价格评估机构不得转让或者变相转让受托的房屋征收评估业务。</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第八条 被征收房屋价值评估目的应当表述为“为房屋征收部门与被征收人确定被征收房屋价值的补偿提供依据，评估被征收房屋的价值”。</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用于产权调换房屋价值评估目的应当表述为“为房屋征收部门与被征收人计算被征收房屋价值与用于产权调换房屋价值的差价提供依据，评估用于产权调换房屋的价值”。</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    第九条 房屋征收评估前，房屋征收部门应当组织有关单位对被征收房屋情况进行调查，明确评估对象。评估对象应当全面、客观，不得遗漏、虚构。</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房屋征收部门应当向受托的房地产价格评估机构提供征收范围内房屋情况，包括已经登记的房屋情况和未经登记建筑的认定、处理结果情况。调查结果应当在房屋征收范围内向被征收人公布。</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对于已经登记的房屋，其性质、用途和建筑面积，一般以房屋权属证书和房屋登记簿的记载为准；房屋权属证书与房屋登记簿的记载不一致的，除有证据证明房屋登记簿确有错误外，以房屋登记簿为准。对于未经登记的建筑，应当按照市、县级人民政府的认定、处理结果进行评估。</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    第十条 被征收房屋价值评估时点为房屋征收决定公告之日。</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用于产权调换房屋价值评估时点应当与被征收房屋价值评估时点一致。</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一条 被征收房屋价值是指被征收房屋及其占用范围内的土地使用权在正常交易情况下，由熟悉情况的交易双方以公平交易方式在评估时点自愿进行交易的金额，但不考虑被征收房屋租赁、抵押、查封等因素的影响。</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前款所述不考虑租赁因素的影响，是指评估被征收房屋无租约限制的价值；不考虑抵押、查封因素的影响，是指评估价值中不扣除被征收房屋已抵押担保的债权数额、拖欠的建设工程价款和其他法定优先受偿款。</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    第十二条 房地产价格评估机构应当安排注册房地产估价师对被征收房屋进行实地查勘，调查被征收房屋状况，拍摄反映被征收房屋内外部状况的照片等影像资料，做好实地查勘记录，并妥善保管。</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被征收人应当协助注册房地产估价师对被征收房屋进行实地查勘，提供或者协助搜集被征收房屋价值评估所必需的情况和资料。</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房屋征收部门、被征收人和注册房地产估价师应当在实地查勘记录上签字或者盖章确认。被征收人拒绝在实地查勘记录上签字或者盖章的，应当由房屋征收部门、注册房地产估价师和无利害关系的第三人见证，有关情况应当在评估报告中说明。</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    第十三条 注册房地产估价师应当根据评估对象和当地房地产市场状况，对市场法、收益法、成本法、假设开发法等评估方法进行适用性分析后，选用其中一种或者多种方法对被征收房屋价值进行评估。</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被征收房屋的类似房地产有交易的，应当选用市场法评估；被征收房屋或者其类似房地产有经济收益的，应当选用收益法评估；被征收房屋是在建工程的，应当选用假设开发法评估。</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可以同时选用两种以上评估方法评估的，应当选用两种以上评估方法评估，并对各种评估方法的测算结果进行校核和比较分析后，合理确定评估结果。</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    第十四条 被征收房屋价值评估应当考虑被征收房屋的区位、用途、建筑结构、新旧程度、建筑面积以及占地面积、土地使用权等影响被征收房屋价值的因素。</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被征收房屋室内装饰装修价值，机器设备、物资等搬迁费用，以及停产停业损失等补偿，由征收当事人协商确定；协商不成的，可以委托房地产价格评估机构通过评估确定。</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    第十五条 房屋征收评估价值应当以人民币为计价的货币单位，精确到元。</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六条 房地产价格评估机构应当按照房屋征收评估委托书或者委托合同的约定，向房屋征收部门提供分户的初步评估结果。分户的初步评估结果应当包括评估对象的构成及其基本情况和评估价值。房屋征收部门应当将分户的初步评估结果在征收范围内向被征收人公示。</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公示期间，房地产价格评估机构应当安排注册房地产估价师对分户的初步评估结果进行现场说明解释。存在错误的，房地产价格评估机构应当修正。</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    第十七条 分户初步评估结果公示期满后，房地产价格评估机构应当向房屋征收部门提供委托评估范围内被征收房屋的整体评估报告和分户评估报告。房屋征收部门应当向被征收人转交分户评估报告。</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整体评估报告和分户评估报告应当由负责房屋征收评估项目的两名以上注册房地产估价师签字，并加盖房地产价格评估机构公章。不得以印章代替签字。</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    第十八条 房屋征收评估业务完成后，房地产价格评估机构应当将评估报告及相关资料立卷、归档保管。</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    第十九条 被征收人或者房屋征收部门对评估报告有疑问的，出具评估报告的房地产价格评估机构应当向其作出解释和说明。</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    第二十条 被征收人或者房屋征收部门对评估结果有异议的，应当自收到评估报告之日起10日内，向房地产价格评估机构申请复核评估。</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申请复核评估的，应当向原房地产价格评估机构提出书面复核评估申请，并指出评估报告存在的问题。</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一条 原房地产价格评估机构应当自收到书面复核评估申请之日起10日内对评估结果进行复核。复核后，改变原评估结果的，应当重新出具评估报告；评估结果没有改变的，应当书面告知复核评估申请人。</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二条 被征收人或者房屋征收部门对原房地产价格评估机构的复核结果有异议的，应当自收到复核结果之日起10日内，向被征收房屋所在地评估专家委员会申请鉴定。被征收人对补偿仍有异议的，按照《国有土地上房屋征收与补偿条例》第二十六条规定处理。</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    第二十三条 各省、自治区住房城乡建设主管部门和设区城市的房地产管理部门应当组织成立评估专家委员会，对房地产价格评估机构做出的复核结果进行鉴定。</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评估专家委员会由房地产估价师以及价格、房地产、土地、城市规划、法律等方面的专家组成。</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    第二十四条 评估专家委员会应当选派成员组成专家组，对复核结果进行鉴定。专家组成员为3人以上单数，其中房地产估价师不得少于二分之一。</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五条 评估专家委员会应当自收到鉴定申请之日起10日内，对申请鉴定评估报告的评估程序、评估依据、评估假设、评估技术路线、评估方法选用、参数选取、评估结果确定方式等评估技术问题进行审核，出具书面鉴定意见。</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经评估专家委员会鉴定，评估报告不存在技术问题的，应当维持评估报告；评估报告存在技术问题的，出具评估报告的房地产价格评估机构应当改正错误，重新出具评估报告。</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    第二十六条 房屋征收评估鉴定过程中，房地产价格评估机构应当按照评估专家委员会要求，就鉴定涉及的评估相关事宜进行说明。需要对被征收房屋进行实地查勘和调查的，有关单位和个人应当协助。</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    第二十七条 因房屋征收评估、复核评估、鉴定工作需要查询被征收房屋和用于产权调换房屋权属以及相关房地产交易信息的，房地产管理部门及其他相关部门应当提供便利。</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    第二十八条 在房屋征收评估过程中，房屋征收部门或者被征收人不配合、不提供相关资料的，房地产价格评估机构应当在评估报告中说明有关情况。</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    第二十九条 除政府对用于产权调换房屋价格有特别规定外，应当以评估方式确定用于产权调换房屋的市场价值。</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    第三十条 被征收房屋的类似房地产是指与被征收房屋的区位、用途、权利性质、档次、新旧程度、规模、建筑结构等相同或者相似的房地产。</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被征收房屋类似房地产的市场价格是指被征收房屋的类似房地产在评估时点的平均交易价格。确定被征收房屋类似房地产的市场价格，应当剔除偶然的和不正常的因素。</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三十一条 房屋征收评估、鉴定费用由委托人承担。但鉴定改变原评估结果的，鉴定费用由原房地产价格评估机构承担。复核评估费用由原房地产价格评估机构承担。房屋征收评估、鉴定费用按照政府价格主管部门规定的收费标准执行。</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三十二条 在房屋征收评估活动中，房地产价格评估机构和房地产估价师的违法违规行为，按照《国有土地上房屋征收与补偿条例》、《房地产估价机构管理办法》、《注册房地产估价师管理办法》等规定处罚。违反规定收费的，由政府价格主管部门依照《中华人民共和国价格法》规定处罚。</w:t>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br w:type="textWrapping"/>
      </w:r>
      <w:r>
        <w:rPr>
          <w:rFonts w:hint="eastAsia" w:ascii="仿宋_GB2312" w:hAnsi="微软雅黑" w:eastAsia="仿宋_GB2312" w:cs="仿宋_GB2312"/>
          <w:b/>
          <w:bCs/>
          <w:i w:val="0"/>
          <w:iCs w:val="0"/>
          <w:caps w:val="0"/>
          <w:color w:val="333333"/>
          <w:spacing w:val="0"/>
          <w:sz w:val="31"/>
          <w:szCs w:val="31"/>
          <w:bdr w:val="none" w:color="auto" w:sz="0" w:space="0"/>
          <w:shd w:val="clear" w:fill="FFFFFF"/>
        </w:rPr>
        <w:t>    第三十三条 本办法自公布之日起施行。2003年12月1日原建设部发布的《城市房屋拆迁估价指导意见》同时废止。但《国有土地上房屋征收与补偿条例》施行前已依法取得房屋拆迁许可证的项目，继续沿用原有规定。</w:t>
      </w:r>
    </w:p>
    <w:p>
      <w:pPr>
        <w:pStyle w:val="7"/>
      </w:pPr>
      <w:r>
        <w:t>窗体顶端</w:t>
      </w:r>
    </w:p>
    <w:p>
      <w:pPr>
        <w:keepNext w:val="0"/>
        <w:keepLines w:val="0"/>
        <w:widowControl/>
        <w:suppressLineNumbers w:val="0"/>
        <w:pBdr>
          <w:top w:val="single" w:color="DFDFDF" w:sz="6" w:space="0"/>
          <w:left w:val="single" w:color="DFDFDF" w:sz="6" w:space="0"/>
          <w:bottom w:val="single" w:color="DFDFDF" w:sz="6" w:space="0"/>
          <w:right w:val="single" w:color="DFDFDF" w:sz="6" w:space="0"/>
        </w:pBdr>
        <w:shd w:val="clear" w:fill="FFFFFF"/>
        <w:wordWrap w:val="0"/>
        <w:spacing w:before="45" w:beforeAutospacing="0" w:after="0" w:afterAutospacing="0"/>
        <w:ind w:left="136" w:right="136" w:firstLine="0"/>
        <w:jc w:val="left"/>
        <w:rPr>
          <w:rFonts w:hint="eastAsia" w:ascii="微软雅黑" w:hAnsi="微软雅黑" w:eastAsia="微软雅黑" w:cs="微软雅黑"/>
          <w:i w:val="0"/>
          <w:iCs w:val="0"/>
          <w:caps w:val="0"/>
          <w:color w:val="4B4B4B"/>
          <w:spacing w:val="0"/>
          <w:sz w:val="18"/>
          <w:szCs w:val="18"/>
        </w:rPr>
      </w:pPr>
    </w:p>
    <w:p>
      <w:pPr>
        <w:pStyle w:val="8"/>
      </w:pPr>
      <w:r>
        <w:t>窗体底端</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wYzQ0NGQ2ZmMyMjYzZDJiMTQ4NTNhNzNlZGVjOWIifQ=="/>
  </w:docVars>
  <w:rsids>
    <w:rsidRoot w:val="1E401249"/>
    <w:rsid w:val="1E401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rPr>
  </w:style>
  <w:style w:type="paragraph" w:styleId="7">
    <w:name w:val=""/>
    <w:basedOn w:val="1"/>
    <w:next w:val="1"/>
    <w:uiPriority w:val="0"/>
    <w:pPr>
      <w:pBdr>
        <w:bottom w:val="single" w:color="auto" w:sz="6" w:space="1"/>
      </w:pBdr>
      <w:jc w:val="center"/>
    </w:pPr>
    <w:rPr>
      <w:rFonts w:ascii="Arial" w:eastAsia="宋体"/>
      <w:vanish/>
      <w:sz w:val="16"/>
    </w:rPr>
  </w:style>
  <w:style w:type="paragraph" w:styleId="8">
    <w:name w:val=""/>
    <w:basedOn w:val="1"/>
    <w:next w:val="1"/>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2023-04-21T08:35:00Z</dcterms:created>
  <dc:creator>追求</dc:creator>
  <cp:lastModifiedBy>追求</cp:lastModifiedBy>
  <dcterms:modified xsi:type="dcterms:W3CDTF">2023-04-21T08:36:00Z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1EC38A6B37B4411AB0C51DEBFCDEB6C8_11</vt:lpwstr>
  </property>
</Properties>
</file>