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晋城市城区审计局</w:t>
      </w:r>
    </w:p>
    <w:p>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2022年政府信息公开工作年度报告</w:t>
      </w:r>
    </w:p>
    <w:p>
      <w:pPr>
        <w:rPr>
          <w:rFonts w:hint="eastAsia" w:ascii="仿宋_GB2312" w:hAnsi="宋体" w:eastAsia="仿宋_GB2312" w:cs="Arial"/>
          <w:color w:val="000000"/>
          <w:kern w:val="0"/>
          <w:sz w:val="32"/>
          <w:szCs w:val="32"/>
          <w:lang w:val="en-US" w:eastAsia="zh-CN" w:bidi="ar-SA"/>
        </w:rPr>
      </w:pPr>
    </w:p>
    <w:p>
      <w:pPr>
        <w:ind w:left="0" w:leftChars="0"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一、总体情况</w:t>
      </w:r>
    </w:p>
    <w:p>
      <w:pPr>
        <w:ind w:left="0" w:leftChars="0" w:firstLine="640" w:firstLineChars="200"/>
        <w:rPr>
          <w:rFonts w:hint="default" w:ascii="仿宋_GB2312" w:hAnsi="宋体" w:eastAsia="仿宋_GB2312" w:cs="Arial"/>
          <w:color w:val="000000"/>
          <w:kern w:val="0"/>
          <w:sz w:val="32"/>
          <w:szCs w:val="32"/>
          <w:lang w:val="en-US" w:eastAsia="zh-CN" w:bidi="ar-SA"/>
        </w:rPr>
      </w:pPr>
      <w:r>
        <w:rPr>
          <w:rFonts w:hint="eastAsia" w:ascii="仿宋_GB2312" w:hAnsi="宋体" w:eastAsia="仿宋_GB2312" w:cs="Arial"/>
          <w:color w:val="000000"/>
          <w:kern w:val="0"/>
          <w:sz w:val="32"/>
          <w:szCs w:val="32"/>
          <w:lang w:val="en-US" w:eastAsia="zh-CN" w:bidi="ar-SA"/>
        </w:rPr>
        <w:t>本年度报告根据《中华人民共和国政府信息公开条例》（国务院令第711号，以下简称《条例》）要求编制，全文包括总体情况、主动公开政府信息情况、政府信息公开行政复议和行政诉讼情况、存在的主要问题及改进情况、其他需要报告的事项。本年度报告所列数据的统计期限自2022年1月1日起至2022年12月31日止。本报告在“晋城市城区人民政府”网站（www.jccq.gov.cn）公布。如对本报告有任何疑问，请与晋城市城区审计局联系（地址：晋城市新市西街75号，电话：0356-2026460）。</w:t>
      </w:r>
    </w:p>
    <w:p>
      <w:pPr>
        <w:ind w:left="0" w:leftChars="0" w:firstLine="643" w:firstLineChars="200"/>
        <w:rPr>
          <w:rFonts w:hint="eastAsia" w:ascii="楷体" w:hAnsi="楷体" w:eastAsia="楷体" w:cs="楷体"/>
          <w:b/>
          <w:bCs/>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（一）主动公开方面</w:t>
      </w:r>
    </w:p>
    <w:p>
      <w:pPr>
        <w:ind w:left="0" w:leftChars="0" w:firstLine="640" w:firstLineChars="200"/>
        <w:rPr>
          <w:rFonts w:hint="eastAsia" w:ascii="仿宋_GB2312" w:hAnsi="宋体" w:eastAsia="仿宋_GB2312" w:cs="Arial"/>
          <w:color w:val="000000"/>
          <w:kern w:val="0"/>
          <w:sz w:val="32"/>
          <w:szCs w:val="32"/>
          <w:lang w:val="en-US" w:eastAsia="zh-CN" w:bidi="ar-SA"/>
        </w:rPr>
      </w:pPr>
      <w:r>
        <w:rPr>
          <w:rFonts w:hint="eastAsia" w:ascii="仿宋_GB2312" w:hAnsi="宋体" w:eastAsia="仿宋_GB2312" w:cs="Arial"/>
          <w:color w:val="000000"/>
          <w:kern w:val="0"/>
          <w:sz w:val="32"/>
          <w:szCs w:val="32"/>
          <w:lang w:val="en-US" w:eastAsia="zh-CN" w:bidi="ar-SA"/>
        </w:rPr>
        <w:t>2022年度主动公开信息种类包括机购职能类、法律依据类和审计业务类。</w:t>
      </w:r>
      <w:bookmarkStart w:id="0" w:name="_GoBack"/>
      <w:bookmarkEnd w:id="0"/>
      <w:r>
        <w:rPr>
          <w:rFonts w:hint="eastAsia" w:ascii="仿宋_GB2312" w:hAnsi="宋体" w:eastAsia="仿宋_GB2312" w:cs="Arial"/>
          <w:color w:val="000000"/>
          <w:kern w:val="0"/>
          <w:sz w:val="32"/>
          <w:szCs w:val="32"/>
          <w:lang w:val="en-US" w:eastAsia="zh-CN" w:bidi="ar-SA"/>
        </w:rPr>
        <w:t>我局采取各种措施，加大主动公开的力度，丰富主动公开的途径，突出主动公开的重点，多渠道公开发布信息。充分利用市、区政府门户网站的政府信息公开平台发布信息，我局指派专人负责政府信息公开平台的信息发布工作，及时发布信息。</w:t>
      </w:r>
    </w:p>
    <w:p>
      <w:pPr>
        <w:ind w:left="0" w:leftChars="0" w:firstLine="643" w:firstLineChars="200"/>
        <w:rPr>
          <w:rFonts w:hint="eastAsia" w:ascii="仿宋_GB2312" w:hAnsi="宋体" w:eastAsia="仿宋_GB2312" w:cs="Arial"/>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（二）依申请公开方面</w:t>
      </w:r>
    </w:p>
    <w:p>
      <w:pPr>
        <w:ind w:left="0" w:leftChars="0" w:firstLine="640" w:firstLineChars="200"/>
        <w:rPr>
          <w:rFonts w:hint="eastAsia" w:ascii="仿宋_GB2312" w:hAnsi="宋体" w:eastAsia="仿宋_GB2312" w:cs="Arial"/>
          <w:color w:val="000000"/>
          <w:kern w:val="0"/>
          <w:sz w:val="32"/>
          <w:szCs w:val="32"/>
          <w:lang w:val="en-US" w:eastAsia="zh-CN" w:bidi="ar-SA"/>
        </w:rPr>
      </w:pPr>
      <w:r>
        <w:rPr>
          <w:rFonts w:hint="eastAsia" w:ascii="仿宋_GB2312" w:hAnsi="宋体" w:eastAsia="仿宋_GB2312" w:cs="Arial"/>
          <w:color w:val="000000"/>
          <w:kern w:val="0"/>
          <w:sz w:val="32"/>
          <w:szCs w:val="32"/>
          <w:lang w:val="en-US" w:eastAsia="zh-CN" w:bidi="ar-SA"/>
        </w:rPr>
        <w:t>2022年度未发生依申请公开政府信息的情况。</w:t>
      </w:r>
    </w:p>
    <w:p>
      <w:pPr>
        <w:pStyle w:val="4"/>
        <w:snapToGrid w:val="0"/>
        <w:spacing w:before="0" w:beforeLines="0" w:beforeAutospacing="0" w:after="0" w:afterLines="0" w:afterAutospacing="0" w:line="600" w:lineRule="exact"/>
        <w:ind w:firstLine="723" w:firstLineChars="225"/>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（三）政府信息管理方面</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一是</w:t>
      </w:r>
      <w:r>
        <w:rPr>
          <w:rFonts w:hint="eastAsia" w:ascii="仿宋_GB2312" w:hAnsi="宋体" w:eastAsia="仿宋_GB2312"/>
          <w:color w:val="000000"/>
          <w:sz w:val="32"/>
          <w:szCs w:val="32"/>
        </w:rPr>
        <w:t>加强领导，落实责任。成立了由局长为组长、班子成员为副组长、局办公室和相关科室负责人为成员的区审计局政府信息公开工作领导小组，领导小组下设办公室，负责实施我局的政府信息公开工作，并确定各科室负责人为联络员，各科室指定专人为信息员承担信息公开的工作，建立起分管领导主抓、局信息中心牵头、职能科室分工实施的信息公开工作机制。</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二是</w:t>
      </w:r>
      <w:r>
        <w:rPr>
          <w:rFonts w:hint="eastAsia" w:ascii="仿宋_GB2312" w:hAnsi="宋体" w:eastAsia="仿宋_GB2312"/>
          <w:color w:val="000000"/>
          <w:sz w:val="32"/>
          <w:szCs w:val="32"/>
        </w:rPr>
        <w:t>完善制度，规范行为。我局制订了</w:t>
      </w:r>
      <w:r>
        <w:rPr>
          <w:rFonts w:hint="eastAsia" w:ascii="仿宋_GB2312" w:hAnsi="宋体" w:eastAsia="仿宋_GB2312"/>
          <w:color w:val="000000"/>
          <w:sz w:val="32"/>
          <w:szCs w:val="32"/>
          <w:lang w:eastAsia="zh-CN"/>
        </w:rPr>
        <w:t>信息公开实施方案</w:t>
      </w:r>
      <w:r>
        <w:rPr>
          <w:rFonts w:hint="eastAsia" w:ascii="仿宋_GB2312" w:hAnsi="宋体" w:eastAsia="仿宋_GB2312"/>
          <w:color w:val="000000"/>
          <w:sz w:val="32"/>
          <w:szCs w:val="32"/>
        </w:rPr>
        <w:t>，统一了信息公开的工作职责、程序标准和主要内容，规范了公开信息的收集、审查、发布程序，为基层开展政府信息公开工作提供了具体实用、操作性强的制度办法。把推进信息公开审核贯穿公文生成全过程，规范发文制度，明确公开及备案的要求。通过信息公开意见箱、监督电话等方式自觉接受监督。</w:t>
      </w:r>
    </w:p>
    <w:p>
      <w:pPr>
        <w:pStyle w:val="4"/>
        <w:snapToGrid w:val="0"/>
        <w:spacing w:before="0" w:beforeLines="0" w:beforeAutospacing="0" w:after="0" w:afterLines="0" w:afterAutospacing="0" w:line="600" w:lineRule="exact"/>
        <w:ind w:firstLine="723" w:firstLineChars="225"/>
        <w:rPr>
          <w:rFonts w:hint="eastAsia" w:ascii="楷体" w:hAnsi="楷体" w:eastAsia="楷体" w:cs="楷体"/>
          <w:sz w:val="32"/>
          <w:szCs w:val="32"/>
          <w:lang w:eastAsia="zh-CN"/>
        </w:rPr>
      </w:pPr>
      <w:r>
        <w:rPr>
          <w:rFonts w:hint="eastAsia" w:ascii="楷体" w:hAnsi="楷体" w:eastAsia="楷体" w:cs="楷体"/>
          <w:b/>
          <w:bCs/>
          <w:color w:val="000000"/>
          <w:sz w:val="32"/>
          <w:szCs w:val="32"/>
          <w:lang w:eastAsia="zh-CN"/>
        </w:rPr>
        <w:t>（四）政府信息公开平台建设方面</w:t>
      </w:r>
    </w:p>
    <w:p>
      <w:pPr>
        <w:pStyle w:val="4"/>
        <w:snapToGrid w:val="0"/>
        <w:spacing w:before="0" w:beforeLines="0" w:beforeAutospacing="0" w:after="0" w:afterLines="0" w:afterAutospacing="0" w:line="60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因工作性质，我局没有政府信息公开平台建设</w:t>
      </w:r>
      <w:r>
        <w:rPr>
          <w:rFonts w:hint="eastAsia" w:ascii="仿宋_GB2312" w:hAnsi="宋体" w:eastAsia="仿宋_GB2312"/>
          <w:color w:val="000000"/>
          <w:sz w:val="32"/>
          <w:szCs w:val="32"/>
        </w:rPr>
        <w:t>。</w:t>
      </w:r>
    </w:p>
    <w:p>
      <w:pPr>
        <w:pStyle w:val="4"/>
        <w:numPr>
          <w:ilvl w:val="0"/>
          <w:numId w:val="0"/>
        </w:numPr>
        <w:snapToGrid w:val="0"/>
        <w:spacing w:before="0" w:beforeLines="0" w:beforeAutospacing="0" w:after="0" w:afterLines="0" w:afterAutospacing="0" w:line="600" w:lineRule="exact"/>
        <w:ind w:left="0" w:leftChars="0"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（五）监督保障方面</w:t>
      </w:r>
    </w:p>
    <w:p>
      <w:pPr>
        <w:pStyle w:val="4"/>
        <w:snapToGrid w:val="0"/>
        <w:spacing w:before="0" w:beforeAutospacing="0" w:after="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一是</w:t>
      </w:r>
      <w:r>
        <w:rPr>
          <w:rFonts w:hint="eastAsia" w:ascii="仿宋_GB2312" w:hAnsi="宋体" w:eastAsia="仿宋_GB2312"/>
          <w:color w:val="000000"/>
          <w:sz w:val="32"/>
          <w:szCs w:val="32"/>
        </w:rPr>
        <w:t>通过信息公开平台发布信息。充分利用市、区政府门户网站的政府信息公开平台发布信息，我局指派专人负责政府信息公开平台的信息发布工作，及时发布信息。</w:t>
      </w:r>
    </w:p>
    <w:p>
      <w:pPr>
        <w:pStyle w:val="4"/>
        <w:numPr>
          <w:ilvl w:val="0"/>
          <w:numId w:val="0"/>
        </w:numPr>
        <w:snapToGrid w:val="0"/>
        <w:spacing w:before="0" w:beforeLines="0" w:beforeAutospacing="0" w:after="0" w:afterLines="0" w:afterAutospacing="0" w:line="600" w:lineRule="exact"/>
        <w:ind w:left="0" w:leftChars="0"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二</w:t>
      </w:r>
      <w:r>
        <w:rPr>
          <w:rFonts w:hint="eastAsia" w:ascii="仿宋_GB2312" w:hAnsi="宋体" w:eastAsia="仿宋_GB2312"/>
          <w:color w:val="000000"/>
          <w:sz w:val="32"/>
          <w:szCs w:val="32"/>
          <w:lang w:eastAsia="zh-CN"/>
        </w:rPr>
        <w:t>是</w:t>
      </w:r>
      <w:r>
        <w:rPr>
          <w:rFonts w:hint="eastAsia" w:ascii="仿宋_GB2312" w:hAnsi="宋体" w:eastAsia="仿宋_GB2312"/>
          <w:color w:val="000000"/>
          <w:sz w:val="32"/>
          <w:szCs w:val="32"/>
        </w:rPr>
        <w:t>审计回访运行机制。在做好政务公开工作的同时，我局加大对审计过程的督查力度，要求每结束一项审计项目都要进行审计回访制度，接受被审单位的监督。</w:t>
      </w:r>
    </w:p>
    <w:p>
      <w:pPr>
        <w:ind w:firstLine="960" w:firstLineChars="3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2"/>
        <w:tblW w:w="0" w:type="auto"/>
        <w:jc w:val="center"/>
        <w:tblLayout w:type="fixed"/>
        <w:tblCellMar>
          <w:top w:w="0" w:type="dxa"/>
          <w:left w:w="0" w:type="dxa"/>
          <w:bottom w:w="0" w:type="dxa"/>
          <w:right w:w="0" w:type="dxa"/>
        </w:tblCellMar>
      </w:tblPr>
      <w:tblGrid>
        <w:gridCol w:w="2435"/>
        <w:gridCol w:w="2435"/>
        <w:gridCol w:w="1878"/>
        <w:gridCol w:w="1980"/>
      </w:tblGrid>
      <w:tr>
        <w:tblPrEx>
          <w:tblCellMar>
            <w:top w:w="0" w:type="dxa"/>
            <w:left w:w="0" w:type="dxa"/>
            <w:bottom w:w="0" w:type="dxa"/>
            <w:right w:w="0" w:type="dxa"/>
          </w:tblCellMar>
        </w:tblPrEx>
        <w:trPr>
          <w:trHeight w:val="340" w:hRule="atLeast"/>
          <w:jc w:val="center"/>
        </w:trPr>
        <w:tc>
          <w:tcPr>
            <w:tcW w:w="8728"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本年制发件数</w:t>
            </w:r>
          </w:p>
        </w:tc>
        <w:tc>
          <w:tcPr>
            <w:tcW w:w="1878" w:type="dxa"/>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本年废止件数</w:t>
            </w:r>
          </w:p>
        </w:tc>
        <w:tc>
          <w:tcPr>
            <w:tcW w:w="1980" w:type="dxa"/>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878"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980"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878"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c>
          <w:tcPr>
            <w:tcW w:w="1980" w:type="dxa"/>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r>
              <w:rPr>
                <w:rFonts w:hint="eastAsia"/>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行政许可</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pPr>
              <w:rPr>
                <w:rFonts w:hint="eastAsia" w:eastAsiaTheme="minorEastAsia"/>
                <w:lang w:val="en-US" w:eastAsia="zh-CN"/>
              </w:rPr>
            </w:pPr>
            <w: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62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r>
              <w:rPr>
                <w:rFonts w:hint="eastAsia"/>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行政处罚</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pPr>
              <w:rPr>
                <w:rFonts w:hint="default" w:eastAsia="宋体"/>
                <w:lang w:val="en-US" w:eastAsia="zh-CN"/>
              </w:rPr>
            </w:pPr>
            <w:r>
              <w:rPr>
                <w:rFonts w:hint="eastAsia"/>
              </w:rPr>
              <w:t>　</w:t>
            </w:r>
            <w:r>
              <w:rPr>
                <w:rFonts w:hint="eastAsia"/>
                <w:lang w:val="en-US" w:eastAsia="zh-CN"/>
              </w:rPr>
              <w:t>13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行政强制</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pPr>
              <w:rPr>
                <w:rFonts w:hint="eastAsia" w:eastAsia="宋体"/>
                <w:lang w:val="en-US" w:eastAsia="zh-CN"/>
              </w:rPr>
            </w:pPr>
            <w:r>
              <w:rPr>
                <w:rFonts w:hint="eastAsia"/>
              </w:rPr>
              <w:t>　</w:t>
            </w: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r>
              <w:rPr>
                <w:rFonts w:hint="eastAsia"/>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信息内容</w:t>
            </w:r>
          </w:p>
        </w:tc>
        <w:tc>
          <w:tcPr>
            <w:tcW w:w="6293" w:type="dxa"/>
            <w:gridSpan w:val="3"/>
            <w:tcBorders>
              <w:top w:val="nil"/>
              <w:left w:val="nil"/>
              <w:bottom w:val="single" w:color="auto" w:sz="8" w:space="0"/>
              <w:right w:val="single" w:color="000000" w:sz="8" w:space="0"/>
            </w:tcBorders>
            <w:noWrap w:val="0"/>
            <w:tcMar>
              <w:left w:w="57" w:type="dxa"/>
              <w:right w:w="57" w:type="dxa"/>
            </w:tcMar>
            <w:vAlign w:val="center"/>
          </w:tcPr>
          <w:p>
            <w:r>
              <w:rPr>
                <w:rFonts w:hint="eastAsia"/>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r>
              <w:rPr>
                <w:rFonts w:hint="eastAsia"/>
              </w:rPr>
              <w:t>行政事业性收费</w:t>
            </w:r>
          </w:p>
        </w:tc>
        <w:tc>
          <w:tcPr>
            <w:tcW w:w="6293"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eastAsia="宋体"/>
                <w:lang w:val="en-US" w:eastAsia="zh-CN"/>
              </w:rPr>
            </w:pPr>
            <w:r>
              <w:rPr>
                <w:rFonts w:hint="eastAsia"/>
                <w:lang w:val="en-US" w:eastAsia="zh-CN"/>
              </w:rPr>
              <w:t>0</w:t>
            </w:r>
          </w:p>
        </w:tc>
      </w:tr>
    </w:tbl>
    <w:p>
      <w:pPr>
        <w:rPr>
          <w:rFonts w:hint="eastAsia"/>
        </w:rPr>
      </w:pPr>
    </w:p>
    <w:p>
      <w:pPr>
        <w:numPr>
          <w:ilvl w:val="0"/>
          <w:numId w:val="0"/>
        </w:numPr>
        <w:ind w:firstLine="960" w:firstLineChars="3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9"/>
        <w:gridCol w:w="732"/>
        <w:gridCol w:w="2078"/>
        <w:gridCol w:w="811"/>
        <w:gridCol w:w="753"/>
        <w:gridCol w:w="753"/>
        <w:gridCol w:w="811"/>
        <w:gridCol w:w="673"/>
        <w:gridCol w:w="687"/>
        <w:gridCol w:w="5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（本列数据的勾稽关系为：第一项加第二项之和，等于第三项加第四项之和）</w:t>
            </w:r>
          </w:p>
        </w:tc>
        <w:tc>
          <w:tcPr>
            <w:tcW w:w="5034"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自然人</w:t>
            </w:r>
          </w:p>
        </w:tc>
        <w:tc>
          <w:tcPr>
            <w:tcW w:w="367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法人或其他组织</w:t>
            </w:r>
          </w:p>
        </w:tc>
        <w:tc>
          <w:tcPr>
            <w:tcW w:w="54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社会公益组织</w:t>
            </w:r>
          </w:p>
        </w:tc>
        <w:tc>
          <w:tcPr>
            <w:tcW w:w="673"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法律服务机构</w:t>
            </w:r>
          </w:p>
        </w:tc>
        <w:tc>
          <w:tcPr>
            <w:tcW w:w="687"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其他</w:t>
            </w:r>
          </w:p>
        </w:tc>
        <w:tc>
          <w:tcPr>
            <w:tcW w:w="54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三、本年度办理结果</w:t>
            </w: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（三）不予公开</w:t>
            </w: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（四）无法提供</w:t>
            </w: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（五）不予处理</w:t>
            </w: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pPr>
              <w:rPr>
                <w:rFonts w:hint="eastAsia" w:eastAsia="宋体"/>
                <w:lang w:val="en-US" w:eastAsia="zh-CN"/>
              </w:rPr>
            </w:pPr>
            <w:r>
              <w:rPr>
                <w:rFonts w:hint="eastAsia"/>
                <w:lang w:val="en-US" w:eastAsia="zh-CN"/>
              </w:rPr>
              <w:t>0</w:t>
            </w:r>
          </w:p>
        </w:tc>
      </w:tr>
    </w:tbl>
    <w:p>
      <w:pPr>
        <w:rPr>
          <w:rFonts w:hint="eastAsia"/>
        </w:rPr>
      </w:pPr>
    </w:p>
    <w:p>
      <w:pPr>
        <w:ind w:firstLine="320" w:firstLineChars="1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rPr>
          <w:rFonts w:hint="eastAsia"/>
        </w:rPr>
      </w:pP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460"/>
        <w:gridCol w:w="694"/>
        <w:gridCol w:w="589"/>
        <w:gridCol w:w="561"/>
        <w:gridCol w:w="574"/>
        <w:gridCol w:w="287"/>
        <w:gridCol w:w="640"/>
        <w:gridCol w:w="637"/>
        <w:gridCol w:w="654"/>
        <w:gridCol w:w="662"/>
        <w:gridCol w:w="4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7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行政复议</w:t>
            </w:r>
          </w:p>
        </w:tc>
        <w:tc>
          <w:tcPr>
            <w:tcW w:w="5760"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r>
              <w:rPr>
                <w:rFonts w:hint="eastAsia"/>
                <w:lang w:val="en-US" w:eastAsia="zh-CN"/>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尚未审结</w:t>
            </w:r>
          </w:p>
        </w:tc>
        <w:tc>
          <w:tcPr>
            <w:tcW w:w="46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c>
          <w:tcPr>
            <w:tcW w:w="270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未经复议直接起诉</w:t>
            </w:r>
          </w:p>
        </w:tc>
        <w:tc>
          <w:tcPr>
            <w:tcW w:w="305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c>
          <w:tcPr>
            <w:tcW w:w="46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rPr>
            </w:pPr>
          </w:p>
        </w:tc>
        <w:tc>
          <w:tcPr>
            <w:tcW w:w="694" w:type="dxa"/>
            <w:tcBorders>
              <w:top w:val="nil"/>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结果维持</w:t>
            </w:r>
          </w:p>
        </w:tc>
        <w:tc>
          <w:tcPr>
            <w:tcW w:w="589" w:type="dxa"/>
            <w:tcBorders>
              <w:top w:val="nil"/>
              <w:left w:val="nil"/>
              <w:bottom w:val="single" w:color="auto" w:sz="8" w:space="0"/>
              <w:right w:val="single" w:color="auto" w:sz="8" w:space="0"/>
            </w:tcBorders>
            <w:noWrap w:val="0"/>
            <w:tcMar>
              <w:left w:w="108" w:type="dxa"/>
              <w:right w:w="108" w:type="dxa"/>
            </w:tcMar>
            <w:vAlign w:val="center"/>
          </w:tcPr>
          <w:p>
            <w:pPr>
              <w:rPr>
                <w:sz w:val="18"/>
                <w:szCs w:val="21"/>
              </w:rPr>
            </w:pPr>
            <w:r>
              <w:rPr>
                <w:rFonts w:hint="eastAsia"/>
                <w:sz w:val="18"/>
                <w:szCs w:val="21"/>
                <w:lang w:val="en-US" w:eastAsia="zh-CN"/>
              </w:rPr>
              <w:t>结果纠正</w:t>
            </w:r>
          </w:p>
        </w:tc>
        <w:tc>
          <w:tcPr>
            <w:tcW w:w="561"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sz w:val="16"/>
                <w:szCs w:val="20"/>
              </w:rPr>
            </w:pPr>
            <w:r>
              <w:rPr>
                <w:rFonts w:hint="eastAsia"/>
                <w:sz w:val="16"/>
                <w:szCs w:val="20"/>
                <w:lang w:val="en-US" w:eastAsia="zh-CN"/>
              </w:rPr>
              <w:t>其他结果</w:t>
            </w:r>
          </w:p>
        </w:tc>
        <w:tc>
          <w:tcPr>
            <w:tcW w:w="574"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sz w:val="16"/>
                <w:szCs w:val="20"/>
              </w:rPr>
            </w:pPr>
            <w:r>
              <w:rPr>
                <w:rFonts w:hint="eastAsia"/>
                <w:sz w:val="16"/>
                <w:szCs w:val="20"/>
                <w:lang w:val="en-US" w:eastAsia="zh-CN"/>
              </w:rPr>
              <w:t>尚未审结</w:t>
            </w:r>
          </w:p>
        </w:tc>
        <w:tc>
          <w:tcPr>
            <w:tcW w:w="287"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c>
          <w:tcPr>
            <w:tcW w:w="640"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结果维持</w:t>
            </w:r>
          </w:p>
        </w:tc>
        <w:tc>
          <w:tcPr>
            <w:tcW w:w="637"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结果纠正</w:t>
            </w:r>
          </w:p>
        </w:tc>
        <w:tc>
          <w:tcPr>
            <w:tcW w:w="654"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其他结果</w:t>
            </w:r>
          </w:p>
        </w:tc>
        <w:tc>
          <w:tcPr>
            <w:tcW w:w="662"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尚未审结</w:t>
            </w:r>
          </w:p>
        </w:tc>
        <w:tc>
          <w:tcPr>
            <w:tcW w:w="462" w:type="dxa"/>
            <w:tcBorders>
              <w:top w:val="single" w:color="auto" w:sz="8" w:space="0"/>
              <w:left w:val="nil"/>
              <w:bottom w:val="single" w:color="auto" w:sz="8" w:space="0"/>
              <w:right w:val="single" w:color="auto" w:sz="8" w:space="0"/>
            </w:tcBorders>
            <w:noWrap w:val="0"/>
            <w:tcMar>
              <w:left w:w="108" w:type="dxa"/>
              <w:right w:w="108" w:type="dxa"/>
            </w:tcMar>
            <w:vAlign w:val="center"/>
          </w:tcPr>
          <w:p>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460"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default"/>
                <w:lang w:val="en-US" w:eastAsia="zh-CN"/>
              </w:rPr>
              <w:t> </w:t>
            </w:r>
            <w:r>
              <w:rPr>
                <w:rFonts w:hint="eastAsia"/>
                <w:lang w:val="en-US" w:eastAsia="zh-CN"/>
              </w:rPr>
              <w:t>0</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589"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561"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57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287"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40"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37"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54"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662" w:type="dxa"/>
            <w:tcBorders>
              <w:top w:val="nil"/>
              <w:left w:val="nil"/>
              <w:bottom w:val="single" w:color="auto" w:sz="8" w:space="0"/>
              <w:right w:val="single" w:color="auto" w:sz="8" w:space="0"/>
            </w:tcBorders>
            <w:noWrap w:val="0"/>
            <w:tcMar>
              <w:left w:w="108" w:type="dxa"/>
              <w:right w:w="108" w:type="dxa"/>
            </w:tcMar>
            <w:vAlign w:val="center"/>
          </w:tcPr>
          <w:p>
            <w:pPr>
              <w:rPr>
                <w:rFonts w:hint="default"/>
                <w:lang w:val="en-US"/>
              </w:rPr>
            </w:pPr>
            <w:r>
              <w:rPr>
                <w:rFonts w:hint="eastAsia"/>
                <w:lang w:val="en-US" w:eastAsia="zh-CN"/>
              </w:rPr>
              <w:t> 0</w:t>
            </w:r>
          </w:p>
        </w:tc>
        <w:tc>
          <w:tcPr>
            <w:tcW w:w="462" w:type="dxa"/>
            <w:tcBorders>
              <w:top w:val="nil"/>
              <w:left w:val="nil"/>
              <w:bottom w:val="single" w:color="auto" w:sz="8" w:space="0"/>
              <w:right w:val="single" w:color="auto" w:sz="8" w:space="0"/>
            </w:tcBorders>
            <w:noWrap w:val="0"/>
            <w:tcMar>
              <w:left w:w="108" w:type="dxa"/>
              <w:right w:w="108" w:type="dxa"/>
            </w:tcMar>
            <w:vAlign w:val="center"/>
          </w:tcPr>
          <w:p>
            <w:pPr>
              <w:rPr>
                <w:rFonts w:hint="eastAsia" w:eastAsia="宋体"/>
                <w:lang w:val="en-US" w:eastAsia="zh-CN"/>
              </w:rPr>
            </w:pPr>
            <w:r>
              <w:rPr>
                <w:rFonts w:hint="eastAsia"/>
                <w:lang w:val="en-US" w:eastAsia="zh-CN"/>
              </w:rPr>
              <w:t>0</w:t>
            </w:r>
          </w:p>
        </w:tc>
      </w:tr>
    </w:tbl>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我局</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工作通过努力，虽然取得了一些阶段性的成果，摸索了一些经验做法，但通过自查，也暴露了一些在信息公开方面存在的薄弱环节，如：公开的内容有待于进一步拓宽完善；信息公开的时限滞后；信息公开的长效机制建立不完善；信息公开的渠道还不够畅通等。所有这些都是今后加强信息公开工作需要改进的。</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（一）加大对</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公开工作的资金投入，加强信息公开硬件建设，畅通信息公开渠道。</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（二）加强干部队伍素质建设和责任心教育。强化各部门的沟通协调，形成人人关心信息公开的良好氛围。</w:t>
      </w:r>
    </w:p>
    <w:p>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（三）建立</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公开长效机制。强化信息公开工作力度，及时准确地发布信息，积极为领导决策提供依据。</w:t>
      </w:r>
    </w:p>
    <w:p>
      <w:pPr>
        <w:pStyle w:val="4"/>
        <w:snapToGrid w:val="0"/>
        <w:spacing w:before="0" w:beforeLines="0" w:beforeAutospacing="0" w:after="0" w:afterLines="0" w:afterAutospacing="0" w:line="60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（四）要严格筛选公开内容。要立足审计工作，有选择性地公开信息。对涉密的信息要严格把关，确保涉密信息的安全。  </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城区审计局</w:t>
      </w:r>
    </w:p>
    <w:p>
      <w:pPr>
        <w:rPr>
          <w:rFonts w:hint="eastAsia"/>
        </w:rPr>
      </w:pPr>
      <w:r>
        <w:rPr>
          <w:rFonts w:hint="eastAsia" w:ascii="仿宋_GB2312" w:hAnsi="仿宋_GB2312" w:eastAsia="仿宋_GB2312" w:cs="仿宋_GB2312"/>
          <w:sz w:val="32"/>
          <w:szCs w:val="32"/>
          <w:lang w:val="en-US" w:eastAsia="zh-CN"/>
        </w:rPr>
        <w:t xml:space="preserve">                               2023年1月10日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mRmM2Y2MDI0MTY3M2NhMGVkN2UyNGE2OThhYmMifQ=="/>
  </w:docVars>
  <w:rsids>
    <w:rsidRoot w:val="405B4D9A"/>
    <w:rsid w:val="3F33459B"/>
    <w:rsid w:val="405B4D9A"/>
    <w:rsid w:val="4EBA206B"/>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Lines="0" w:beforeAutospacing="1" w:after="100" w:afterLines="0" w:afterAutospacing="1" w:line="300" w:lineRule="atLeast"/>
      <w:jc w:val="left"/>
    </w:pPr>
    <w:rPr>
      <w:rFonts w:ascii="Arial" w:hAnsi="Arial" w:cs="Arial"/>
      <w:color w:val="333333"/>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2036</Characters>
  <Lines>0</Lines>
  <Paragraphs>0</Paragraphs>
  <TotalTime>1</TotalTime>
  <ScaleCrop>false</ScaleCrop>
  <LinksUpToDate>false</LinksUpToDate>
  <CharactersWithSpaces>2180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2023-01-10T00:30:00Z</dcterms:created>
  <dc:creator>王jun</dc:creator>
  <cp:lastModifiedBy>王jun</cp:lastModifiedBy>
  <dcterms:modified xsi:type="dcterms:W3CDTF">2023-01-10T01:55:52Z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DC47305760574702B48F30ECC21E3F1A</vt:lpwstr>
  </property>
</Properties>
</file>