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4" w:lineRule="auto"/>
        <w:rPr>
          <w:rFonts w:hint="eastAsia" w:ascii="宋体" w:hAnsi="宋体" w:eastAsia="宋体" w:cs="宋体"/>
          <w:sz w:val="32"/>
          <w:szCs w:val="32"/>
          <w:lang w:eastAsia="zh-CN"/>
        </w:rPr>
      </w:pPr>
      <w:r>
        <w:rPr>
          <w:rFonts w:hint="eastAsia" w:ascii="宋体" w:hAnsi="宋体" w:eastAsia="宋体" w:cs="宋体"/>
          <w:b/>
          <w:bCs/>
          <w:spacing w:val="28"/>
          <w:sz w:val="32"/>
          <w:szCs w:val="32"/>
        </w:rPr>
        <w:t>附件</w:t>
      </w:r>
      <w:r>
        <w:rPr>
          <w:rFonts w:hint="eastAsia" w:ascii="宋体" w:hAnsi="宋体" w:eastAsia="宋体" w:cs="宋体"/>
          <w:b/>
          <w:bCs/>
          <w:spacing w:val="28"/>
          <w:sz w:val="32"/>
          <w:szCs w:val="32"/>
          <w:lang w:val="en-US" w:eastAsia="zh-CN"/>
        </w:rPr>
        <w:t>3</w:t>
      </w:r>
    </w:p>
    <w:p>
      <w:pPr>
        <w:spacing w:before="140" w:line="219" w:lineRule="auto"/>
        <w:ind w:left="2241"/>
        <w:rPr>
          <w:rFonts w:ascii="宋体" w:hAnsi="宋体" w:eastAsia="宋体" w:cs="宋体"/>
          <w:b/>
          <w:bCs/>
          <w:spacing w:val="-4"/>
          <w:sz w:val="44"/>
          <w:szCs w:val="44"/>
        </w:rPr>
      </w:pPr>
      <w:r>
        <w:rPr>
          <w:rFonts w:ascii="Times New Roman" w:hAnsi="Times New Roman" w:eastAsia="宋体" w:cs="Times New Roman"/>
          <w:b/>
          <w:bCs/>
          <w:spacing w:val="-4"/>
          <w:sz w:val="44"/>
          <w:szCs w:val="44"/>
        </w:rPr>
        <w:t>部分</w:t>
      </w:r>
      <w:r>
        <w:rPr>
          <w:rFonts w:ascii="宋体" w:hAnsi="宋体" w:eastAsia="宋体" w:cs="宋体"/>
          <w:b/>
          <w:bCs/>
          <w:spacing w:val="-4"/>
          <w:sz w:val="44"/>
          <w:szCs w:val="44"/>
        </w:rPr>
        <w:t>不合格项目小知识</w:t>
      </w:r>
    </w:p>
    <w:p>
      <w:pPr>
        <w:keepNext w:val="0"/>
        <w:keepLines w:val="0"/>
        <w:pageBreakBefore w:val="0"/>
        <w:widowControl w:val="0"/>
        <w:numPr>
          <w:ilvl w:val="0"/>
          <w:numId w:val="0"/>
        </w:numPr>
        <w:kinsoku/>
        <w:wordWrap/>
        <w:overflowPunct/>
        <w:topLinePunct w:val="0"/>
        <w:bidi w:val="0"/>
        <w:snapToGrid/>
        <w:spacing w:line="240" w:lineRule="auto"/>
        <w:textAlignment w:val="auto"/>
        <w:rPr>
          <w:rFonts w:hint="eastAsia" w:ascii="仿宋_GB2312" w:hAnsi="仿宋_GB2312" w:eastAsia="仿宋_GB2312" w:cs="仿宋_GB2312"/>
          <w:b/>
          <w:bCs/>
          <w:spacing w:val="12"/>
          <w:sz w:val="28"/>
          <w:szCs w:val="28"/>
          <w:lang w:val="en-US" w:eastAsia="zh-CN"/>
        </w:rPr>
      </w:pPr>
    </w:p>
    <w:p>
      <w:pPr>
        <w:snapToGrid w:val="0"/>
        <w:spacing w:line="360" w:lineRule="auto"/>
        <w:ind w:firstLine="642" w:firstLineChars="200"/>
        <w:jc w:val="both"/>
        <w:rPr>
          <w:rFonts w:ascii="Times New Roman" w:hAnsi="Times New Roman" w:eastAsia="仿宋" w:cs="Times New Roman"/>
          <w:sz w:val="28"/>
          <w:szCs w:val="28"/>
        </w:rPr>
      </w:pPr>
      <w:r>
        <w:rPr>
          <w:rFonts w:hint="eastAsia" w:eastAsia="仿宋" w:cs="Times New Roman"/>
          <w:b/>
          <w:bCs/>
          <w:spacing w:val="0"/>
          <w:sz w:val="32"/>
          <w:szCs w:val="32"/>
          <w:lang w:val="en-US" w:eastAsia="zh-CN"/>
        </w:rPr>
        <w:t>1.氯氟氰菊酯和高效氯氟氰菊酯</w:t>
      </w:r>
      <w:bookmarkStart w:id="1" w:name="_GoBack"/>
      <w:bookmarkEnd w:id="1"/>
      <w:r>
        <w:rPr>
          <w:rFonts w:hint="eastAsia" w:eastAsia="仿宋" w:cs="Times New Roman"/>
          <w:b/>
          <w:bCs/>
          <w:spacing w:val="0"/>
          <w:sz w:val="32"/>
          <w:szCs w:val="32"/>
          <w:lang w:val="en-US" w:eastAsia="zh-CN"/>
        </w:rPr>
        <w:t>：</w:t>
      </w:r>
      <w:bookmarkStart w:id="0" w:name="_Hlk58580149"/>
      <w:r>
        <w:rPr>
          <w:rFonts w:hint="default" w:ascii="Times New Roman" w:hAnsi="Times New Roman" w:eastAsia="仿宋" w:cs="Times New Roman"/>
          <w:sz w:val="32"/>
          <w:szCs w:val="32"/>
        </w:rPr>
        <w:t>氯氟氰菊酯和高效氯氟氰菊酯是一种常见的杀虫剂，可以有效的防治棉花、果树、蔬菜、大豆等作物上的多种害虫，也能防治动物体上的寄生虫。具有杀虫广谱、速度快、持效期长的特点。氯氟氰菊酯和高效氯氟氰菊酯属于神经毒农药，具备触杀和胃毒作用, 对眼睛和皮肤有刺激作用。《食品安全国家标准 食品中农药最大残留限量》（GB 2763—20</w:t>
      </w:r>
      <w:r>
        <w:rPr>
          <w:rFonts w:hint="default" w:ascii="Times New Roman" w:hAnsi="Times New Roman" w:eastAsia="仿宋" w:cs="Times New Roman"/>
          <w:sz w:val="32"/>
          <w:szCs w:val="32"/>
          <w:lang w:val="en-US" w:eastAsia="zh-CN"/>
        </w:rPr>
        <w:t>21</w:t>
      </w:r>
      <w:r>
        <w:rPr>
          <w:rFonts w:hint="default" w:ascii="Times New Roman" w:hAnsi="Times New Roman" w:eastAsia="仿宋" w:cs="Times New Roman"/>
          <w:sz w:val="32"/>
          <w:szCs w:val="32"/>
        </w:rPr>
        <w:t>）中的规定，氯氟氰菊酯和高效氯氟氰菊酯在</w:t>
      </w:r>
      <w:r>
        <w:rPr>
          <w:rFonts w:hint="eastAsia" w:eastAsia="仿宋" w:cs="Times New Roman"/>
          <w:sz w:val="32"/>
          <w:szCs w:val="32"/>
          <w:lang w:val="en-US" w:eastAsia="zh-CN"/>
        </w:rPr>
        <w:t>土豆</w:t>
      </w:r>
      <w:r>
        <w:rPr>
          <w:rFonts w:hint="default" w:ascii="Times New Roman" w:hAnsi="Times New Roman" w:eastAsia="仿宋" w:cs="Times New Roman"/>
          <w:sz w:val="32"/>
          <w:szCs w:val="32"/>
        </w:rPr>
        <w:t>中的最大残留限量值为0.02mg/kg</w:t>
      </w:r>
      <w:r>
        <w:rPr>
          <w:rFonts w:hint="eastAsia" w:eastAsia="仿宋" w:cs="Times New Roman"/>
          <w:sz w:val="32"/>
          <w:szCs w:val="32"/>
          <w:lang w:eastAsia="zh-CN"/>
        </w:rPr>
        <w:t>、</w:t>
      </w:r>
      <w:r>
        <w:rPr>
          <w:rFonts w:hint="default" w:ascii="Times New Roman" w:hAnsi="Times New Roman" w:eastAsia="仿宋" w:cs="Times New Roman"/>
          <w:sz w:val="32"/>
          <w:szCs w:val="32"/>
        </w:rPr>
        <w:t>在</w:t>
      </w:r>
      <w:r>
        <w:rPr>
          <w:rFonts w:hint="eastAsia" w:eastAsia="仿宋" w:cs="Times New Roman"/>
          <w:sz w:val="32"/>
          <w:szCs w:val="32"/>
          <w:lang w:val="en-US" w:eastAsia="zh-CN"/>
        </w:rPr>
        <w:t>胡萝卜</w:t>
      </w:r>
      <w:r>
        <w:rPr>
          <w:rFonts w:hint="default" w:ascii="Times New Roman" w:hAnsi="Times New Roman" w:eastAsia="仿宋" w:cs="Times New Roman"/>
          <w:sz w:val="32"/>
          <w:szCs w:val="32"/>
        </w:rPr>
        <w:t>中的最大残留限量值为0.01mg/kg。水果、蔬菜中氯氟氰菊酯和高效氯氟氰菊酯的超标主要是在喷洒使用农药时配比含量过高、喷洒后雨水淋洗时间短、降解周期未到，及采摘周期短造成农药的残留量过高。</w:t>
      </w:r>
      <w:bookmarkEnd w:id="0"/>
    </w:p>
    <w:p>
      <w:pPr>
        <w:autoSpaceDE w:val="0"/>
        <w:snapToGrid w:val="0"/>
        <w:spacing w:line="360" w:lineRule="auto"/>
        <w:ind w:firstLine="642" w:firstLineChars="200"/>
        <w:jc w:val="both"/>
        <w:rPr>
          <w:rFonts w:hint="default" w:ascii="Times New Roman" w:hAnsi="Times New Roman" w:eastAsia="仿宋" w:cs="Times New Roman"/>
          <w:sz w:val="32"/>
          <w:szCs w:val="32"/>
        </w:rPr>
      </w:pPr>
      <w:r>
        <w:rPr>
          <w:rFonts w:hint="eastAsia" w:ascii="Times New Roman" w:hAnsi="Times New Roman" w:eastAsia="仿宋" w:cs="Times New Roman"/>
          <w:b/>
          <w:bCs/>
          <w:spacing w:val="0"/>
          <w:kern w:val="0"/>
          <w:sz w:val="32"/>
          <w:szCs w:val="32"/>
          <w:lang w:val="en-US" w:eastAsia="zh-CN" w:bidi="ar-SA"/>
        </w:rPr>
        <w:t>2.</w:t>
      </w:r>
      <w:r>
        <w:rPr>
          <w:rFonts w:hint="eastAsia" w:eastAsia="仿宋" w:cs="Times New Roman"/>
          <w:b/>
          <w:bCs/>
          <w:spacing w:val="0"/>
          <w:kern w:val="0"/>
          <w:sz w:val="32"/>
          <w:szCs w:val="32"/>
          <w:lang w:val="en-US" w:eastAsia="zh-CN" w:bidi="ar-SA"/>
        </w:rPr>
        <w:t>噻虫胺：</w:t>
      </w:r>
      <w:r>
        <w:rPr>
          <w:rFonts w:hint="eastAsia" w:ascii="仿宋" w:hAnsi="仿宋" w:eastAsia="仿宋" w:cs="仿宋"/>
          <w:bCs/>
          <w:sz w:val="32"/>
          <w:szCs w:val="32"/>
        </w:rPr>
        <w:t>噻虫胺，烟碱类杀虫剂，具有触杀、胃毒作用，具有根内吸活性和层间传导性。急性中毒可出现恶心、呕吐、头痛、乏力、躁动、抽搐等。食用食品一般不会导致噻虫胺的急性中毒，但长期食用噻虫胺超标的食品，对人体健康也有一定影响。噻虫胺超标的原因，可能是果农对使用农药的安全间隔期不了解，从而违规使用或滥用农药。</w:t>
      </w:r>
    </w:p>
    <w:p>
      <w:pPr>
        <w:pStyle w:val="5"/>
        <w:adjustRightInd w:val="0"/>
        <w:snapToGrid w:val="0"/>
        <w:ind w:firstLine="560"/>
        <w:jc w:val="both"/>
        <w:rPr>
          <w:rFonts w:hint="eastAsia" w:ascii="仿宋" w:hAnsi="仿宋" w:eastAsia="仿宋" w:cs="仿宋"/>
          <w:bCs/>
          <w:kern w:val="0"/>
          <w:sz w:val="32"/>
          <w:szCs w:val="32"/>
          <w:lang w:val="zh-TW" w:eastAsia="zh-CN" w:bidi="ar-SA"/>
        </w:rPr>
      </w:pPr>
      <w:r>
        <w:rPr>
          <w:rFonts w:hint="eastAsia" w:ascii="Times New Roman" w:hAnsi="Times New Roman" w:eastAsia="仿宋" w:cs="Times New Roman"/>
          <w:b/>
          <w:bCs/>
          <w:spacing w:val="0"/>
          <w:kern w:val="0"/>
          <w:sz w:val="32"/>
          <w:szCs w:val="32"/>
          <w:lang w:val="en-US" w:eastAsia="zh-CN" w:bidi="ar-SA"/>
        </w:rPr>
        <w:t>3.菌落总数：</w:t>
      </w:r>
      <w:r>
        <w:rPr>
          <w:rFonts w:hint="eastAsia" w:ascii="仿宋" w:hAnsi="仿宋" w:eastAsia="仿宋" w:cs="仿宋"/>
          <w:bCs/>
          <w:kern w:val="0"/>
          <w:sz w:val="32"/>
          <w:szCs w:val="32"/>
          <w:lang w:val="en-US" w:eastAsia="zh-CN" w:bidi="ar-SA"/>
        </w:rPr>
        <w:t>菌落总数是指示性微生物，并非致病菌，主要用来评价食品的卫生状况，反映食品在生产过程中是否符合卫生要求。菌落总数不合格原因可能是由于原料、包材或生产加工过程受微生物污染，生产加工过程中手工操作较多，人员、设备和环境的清洗消毒不到位，有灭菌工艺的产品灭菌不彻底等原因造成。菌落总数是指示性微生物，并非致病菌，主要用来评价食品的卫生状况，反映食品在生产过程中是否符合卫生要求。菌落总数不合格原因可能是由于原料、包材或生产加工过程受微生物污染，生产加工过程中手工操作较多，人员、设备和环境的清洗消毒不到位，有灭菌工艺的产品灭菌不彻底等原因造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OWQwMWQyZjZlMDc5ZTQwMzBlNmQ2ZmQ4MmVlNTAifQ=="/>
  </w:docVars>
  <w:rsids>
    <w:rsidRoot w:val="00000000"/>
    <w:rsid w:val="08500500"/>
    <w:rsid w:val="192442DB"/>
    <w:rsid w:val="24B110EB"/>
    <w:rsid w:val="2B7C2D11"/>
    <w:rsid w:val="36DD2AC0"/>
    <w:rsid w:val="45524F8B"/>
    <w:rsid w:val="48E324BF"/>
    <w:rsid w:val="4C422631"/>
    <w:rsid w:val="55915C80"/>
    <w:rsid w:val="6DD93173"/>
    <w:rsid w:val="6EC00CC5"/>
    <w:rsid w:val="79AD0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cs="Times New Roman" w:eastAsiaTheme="minorEastAsia"/>
      <w:kern w:val="0"/>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rPr>
      <w:rFonts w:ascii="宋体" w:hAnsi="宋体" w:eastAsia="宋体" w:cs="宋体"/>
      <w:sz w:val="21"/>
      <w:szCs w:val="21"/>
      <w:lang w:val="zh-CN" w:eastAsia="zh-CN" w:bidi="zh-CN"/>
    </w:rPr>
  </w:style>
  <w:style w:type="paragraph" w:customStyle="1" w:styleId="5">
    <w:name w:val="A正文"/>
    <w:qFormat/>
    <w:uiPriority w:val="99"/>
    <w:pPr>
      <w:spacing w:line="360" w:lineRule="auto"/>
    </w:pPr>
    <w:rPr>
      <w:rFonts w:ascii="Times New Roman" w:hAnsi="Times New Roman" w:eastAsia="华文中宋" w:cs="Times New Roman"/>
      <w:kern w:val="2"/>
      <w:sz w:val="24"/>
      <w:szCs w:val="4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635</Words>
  <Characters>672</Characters>
  <Lines>0</Lines>
  <Paragraphs>0</Paragraphs>
  <TotalTime>1</TotalTime>
  <ScaleCrop>false</ScaleCrop>
  <LinksUpToDate>false</LinksUpToDate>
  <CharactersWithSpaces>676</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2024-05-24T09:02:00Z</dcterms:created>
  <dc:creator>Admin-km</dc:creator>
  <cp:lastModifiedBy>greatwall</cp:lastModifiedBy>
  <dcterms:modified xsi:type="dcterms:W3CDTF">2025-10-09T09:30:07Z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6CE21B51D3D74D25A303FB181A49F424_13</vt:lpwstr>
  </property>
  <property fmtid="{D5CDD505-2E9C-101B-9397-08002B2CF9AE}" pid="4" name="KSOTemplateDocerSaveRecord">
    <vt:lpwstr>eyJoZGlkIjoiN2YzNjBkOTgyNWQ1YTMxYzM3MzMwNWFiODNmOWIzYWMiLCJ1c2VySWQiOiI0MTY1OTI3NDcifQ==</vt:lpwstr>
  </property>
</Properties>
</file>