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1" w:line="224" w:lineRule="auto"/>
        <w:rPr>
          <w:rFonts w:hint="eastAsia" w:ascii="宋体" w:hAnsi="宋体" w:eastAsia="宋体" w:cs="宋体"/>
          <w:sz w:val="32"/>
          <w:szCs w:val="32"/>
          <w:lang w:eastAsia="zh-CN"/>
        </w:rPr>
      </w:pPr>
      <w:r>
        <w:rPr>
          <w:rFonts w:hint="eastAsia" w:ascii="宋体" w:hAnsi="宋体" w:eastAsia="宋体" w:cs="宋体"/>
          <w:b/>
          <w:bCs/>
          <w:spacing w:val="28"/>
          <w:sz w:val="32"/>
          <w:szCs w:val="32"/>
        </w:rPr>
        <w:t>附件</w:t>
      </w:r>
      <w:r>
        <w:rPr>
          <w:rFonts w:hint="eastAsia" w:ascii="宋体" w:hAnsi="宋体" w:eastAsia="宋体" w:cs="宋体"/>
          <w:b/>
          <w:bCs/>
          <w:spacing w:val="28"/>
          <w:sz w:val="32"/>
          <w:szCs w:val="32"/>
          <w:lang w:val="en-US" w:eastAsia="zh-CN"/>
        </w:rPr>
        <w:t>3</w:t>
      </w:r>
    </w:p>
    <w:p>
      <w:pPr>
        <w:spacing w:before="140" w:line="219" w:lineRule="auto"/>
        <w:jc w:val="center"/>
        <w:rPr>
          <w:rFonts w:ascii="宋体" w:hAnsi="宋体" w:eastAsia="宋体" w:cs="宋体"/>
          <w:b/>
          <w:bCs/>
          <w:spacing w:val="-4"/>
          <w:sz w:val="44"/>
          <w:szCs w:val="44"/>
        </w:rPr>
      </w:pPr>
      <w:bookmarkStart w:id="0" w:name="_GoBack"/>
      <w:bookmarkEnd w:id="0"/>
      <w:r>
        <w:rPr>
          <w:rFonts w:ascii="Times New Roman" w:hAnsi="Times New Roman" w:eastAsia="宋体" w:cs="Times New Roman"/>
          <w:b/>
          <w:bCs/>
          <w:spacing w:val="-4"/>
          <w:sz w:val="44"/>
          <w:szCs w:val="44"/>
        </w:rPr>
        <w:t>部分</w:t>
      </w:r>
      <w:r>
        <w:rPr>
          <w:rFonts w:ascii="宋体" w:hAnsi="宋体" w:eastAsia="宋体" w:cs="宋体"/>
          <w:b/>
          <w:bCs/>
          <w:spacing w:val="-4"/>
          <w:sz w:val="44"/>
          <w:szCs w:val="44"/>
        </w:rPr>
        <w:t>不合格</w:t>
      </w:r>
      <w:r>
        <w:rPr>
          <w:rFonts w:hint="eastAsia" w:ascii="宋体" w:hAnsi="宋体" w:eastAsia="宋体" w:cs="宋体"/>
          <w:b/>
          <w:bCs/>
          <w:spacing w:val="-4"/>
          <w:sz w:val="44"/>
          <w:szCs w:val="44"/>
          <w:lang w:eastAsia="zh-CN"/>
        </w:rPr>
        <w:t>检验</w:t>
      </w:r>
      <w:r>
        <w:rPr>
          <w:rFonts w:ascii="宋体" w:hAnsi="宋体" w:eastAsia="宋体" w:cs="宋体"/>
          <w:b/>
          <w:bCs/>
          <w:spacing w:val="-4"/>
          <w:sz w:val="44"/>
          <w:szCs w:val="44"/>
        </w:rPr>
        <w:t>项目小知识</w:t>
      </w:r>
    </w:p>
    <w:p>
      <w:pPr>
        <w:keepNext w:val="0"/>
        <w:keepLines w:val="0"/>
        <w:pageBreakBefore w:val="0"/>
        <w:widowControl w:val="0"/>
        <w:numPr>
          <w:ilvl w:val="0"/>
          <w:numId w:val="0"/>
        </w:numPr>
        <w:kinsoku/>
        <w:wordWrap/>
        <w:overflowPunct/>
        <w:topLinePunct w:val="0"/>
        <w:bidi w:val="0"/>
        <w:snapToGrid/>
        <w:spacing w:line="240" w:lineRule="auto"/>
        <w:textAlignment w:val="auto"/>
        <w:rPr>
          <w:rFonts w:hint="eastAsia" w:ascii="仿宋_GB2312" w:hAnsi="仿宋_GB2312" w:eastAsia="仿宋_GB2312" w:cs="仿宋_GB2312"/>
          <w:b/>
          <w:bCs/>
          <w:spacing w:val="12"/>
          <w:sz w:val="28"/>
          <w:szCs w:val="28"/>
          <w:lang w:val="en-US" w:eastAsia="zh-CN"/>
        </w:rPr>
      </w:pPr>
    </w:p>
    <w:p>
      <w:pPr>
        <w:pStyle w:val="2"/>
        <w:keepNext w:val="0"/>
        <w:keepLines w:val="0"/>
        <w:pageBreakBefore w:val="0"/>
        <w:widowControl w:val="0"/>
        <w:kinsoku/>
        <w:wordWrap/>
        <w:overflowPunct/>
        <w:topLinePunct w:val="0"/>
        <w:autoSpaceDE w:val="0"/>
        <w:autoSpaceDN w:val="0"/>
        <w:bidi w:val="0"/>
        <w:adjustRightInd w:val="0"/>
        <w:spacing w:line="360" w:lineRule="auto"/>
        <w:ind w:firstLine="562" w:firstLineChars="200"/>
        <w:textAlignment w:val="auto"/>
        <w:rPr>
          <w:rFonts w:hint="eastAsia" w:ascii="宋体" w:hAnsi="宋体" w:eastAsia="宋体" w:cs="宋体"/>
          <w:b w:val="0"/>
          <w:bCs w:val="0"/>
          <w:spacing w:val="0"/>
          <w:sz w:val="28"/>
          <w:szCs w:val="28"/>
          <w:lang w:eastAsia="zh-CN"/>
        </w:rPr>
      </w:pPr>
      <w:r>
        <w:rPr>
          <w:rFonts w:hint="eastAsia" w:ascii="宋体" w:hAnsi="宋体" w:eastAsia="宋体" w:cs="宋体"/>
          <w:b/>
          <w:bCs/>
          <w:spacing w:val="0"/>
          <w:sz w:val="28"/>
          <w:szCs w:val="28"/>
          <w:lang w:val="en-US" w:eastAsia="zh-CN"/>
        </w:rPr>
        <w:t>1.噻虫胺</w:t>
      </w:r>
      <w:r>
        <w:rPr>
          <w:rFonts w:hint="eastAsia" w:ascii="宋体" w:hAnsi="宋体" w:eastAsia="宋体" w:cs="宋体"/>
          <w:b/>
          <w:bCs/>
          <w:spacing w:val="0"/>
          <w:sz w:val="28"/>
          <w:szCs w:val="28"/>
          <w:lang w:eastAsia="zh-CN"/>
        </w:rPr>
        <w:t>：</w:t>
      </w:r>
    </w:p>
    <w:p>
      <w:pPr>
        <w:pStyle w:val="5"/>
        <w:keepNext w:val="0"/>
        <w:keepLines w:val="0"/>
        <w:pageBreakBefore w:val="0"/>
        <w:widowControl/>
        <w:kinsoku/>
        <w:wordWrap/>
        <w:overflowPunct/>
        <w:topLinePunct w:val="0"/>
        <w:autoSpaceDE/>
        <w:autoSpaceDN/>
        <w:bidi w:val="0"/>
        <w:adjustRightInd w:val="0"/>
        <w:snapToGrid w:val="0"/>
        <w:ind w:firstLine="560" w:firstLineChars="200"/>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一、噻虫胺的基本属性​</w:t>
      </w:r>
    </w:p>
    <w:p>
      <w:pPr>
        <w:pStyle w:val="5"/>
        <w:keepNext w:val="0"/>
        <w:keepLines w:val="0"/>
        <w:pageBreakBefore w:val="0"/>
        <w:widowControl/>
        <w:kinsoku/>
        <w:wordWrap/>
        <w:overflowPunct/>
        <w:topLinePunct w:val="0"/>
        <w:autoSpaceDE/>
        <w:autoSpaceDN/>
        <w:bidi w:val="0"/>
        <w:adjustRightInd w:val="0"/>
        <w:snapToGrid w:val="0"/>
        <w:ind w:firstLine="560" w:firstLineChars="200"/>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用途与类别：噻虫胺是一种新型烟碱类杀虫剂，具有高效、广谱的特点，对蚜虫、飞虱、叶蝉、蓟马等多种刺吸式口器害虫有优异的防治效果，广泛应用于水稻、蔬菜、果树等作物。​</w:t>
      </w:r>
    </w:p>
    <w:p>
      <w:pPr>
        <w:pStyle w:val="5"/>
        <w:keepNext w:val="0"/>
        <w:keepLines w:val="0"/>
        <w:pageBreakBefore w:val="0"/>
        <w:widowControl/>
        <w:kinsoku/>
        <w:wordWrap/>
        <w:overflowPunct/>
        <w:topLinePunct w:val="0"/>
        <w:autoSpaceDE/>
        <w:autoSpaceDN/>
        <w:bidi w:val="0"/>
        <w:adjustRightInd w:val="0"/>
        <w:snapToGrid w:val="0"/>
        <w:ind w:firstLine="560" w:firstLineChars="200"/>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杀虫原理：通过作用于害虫的烟碱型乙酰胆碱受体，干扰害虫的神经系统正常传导，导致害虫出现麻痹、死亡等症状，从而达到防治害虫的目的。​</w:t>
      </w:r>
    </w:p>
    <w:p>
      <w:pPr>
        <w:pStyle w:val="5"/>
        <w:keepNext w:val="0"/>
        <w:keepLines w:val="0"/>
        <w:pageBreakBefore w:val="0"/>
        <w:widowControl/>
        <w:kinsoku/>
        <w:wordWrap/>
        <w:overflowPunct/>
        <w:topLinePunct w:val="0"/>
        <w:autoSpaceDE/>
        <w:autoSpaceDN/>
        <w:bidi w:val="0"/>
        <w:adjustRightInd w:val="0"/>
        <w:snapToGrid w:val="0"/>
        <w:ind w:firstLine="560" w:firstLineChars="200"/>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二、对人体健康的影响​</w:t>
      </w:r>
    </w:p>
    <w:p>
      <w:pPr>
        <w:pStyle w:val="5"/>
        <w:keepNext w:val="0"/>
        <w:keepLines w:val="0"/>
        <w:pageBreakBefore w:val="0"/>
        <w:widowControl/>
        <w:kinsoku/>
        <w:wordWrap/>
        <w:overflowPunct/>
        <w:topLinePunct w:val="0"/>
        <w:autoSpaceDE/>
        <w:autoSpaceDN/>
        <w:bidi w:val="0"/>
        <w:adjustRightInd w:val="0"/>
        <w:snapToGrid w:val="0"/>
        <w:ind w:firstLine="560" w:firstLineChars="200"/>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急性毒性：噻虫胺属于低毒杀虫剂，通过正常的食品摄入，一般情况下不会引起急性中毒。但如果是直接接触高浓度的噻虫胺，可能会对皮肤、眼睛产生一定的刺激作用。​</w:t>
      </w:r>
    </w:p>
    <w:p>
      <w:pPr>
        <w:pStyle w:val="5"/>
        <w:keepNext w:val="0"/>
        <w:keepLines w:val="0"/>
        <w:pageBreakBefore w:val="0"/>
        <w:widowControl/>
        <w:kinsoku/>
        <w:wordWrap/>
        <w:overflowPunct/>
        <w:topLinePunct w:val="0"/>
        <w:autoSpaceDE/>
        <w:autoSpaceDN/>
        <w:bidi w:val="0"/>
        <w:adjustRightInd w:val="0"/>
        <w:snapToGrid w:val="0"/>
        <w:ind w:firstLine="560" w:firstLineChars="200"/>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长期影响：目前关于噻虫胺长期低剂量摄入对人体健康的影响研究还在不断深入，有研究表明，长期接触可能会对人体的神经系统、生殖系统等产生潜在影响，不过这些影响还需要更多的科学数据来证实。​</w:t>
      </w:r>
    </w:p>
    <w:p>
      <w:pPr>
        <w:pStyle w:val="5"/>
        <w:keepNext w:val="0"/>
        <w:keepLines w:val="0"/>
        <w:pageBreakBefore w:val="0"/>
        <w:widowControl/>
        <w:kinsoku/>
        <w:wordWrap/>
        <w:overflowPunct/>
        <w:topLinePunct w:val="0"/>
        <w:autoSpaceDE/>
        <w:autoSpaceDN/>
        <w:bidi w:val="0"/>
        <w:adjustRightInd w:val="0"/>
        <w:snapToGrid w:val="0"/>
        <w:ind w:firstLine="560" w:firstLineChars="200"/>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三、相关残留限量与超标原因​</w:t>
      </w:r>
    </w:p>
    <w:p>
      <w:pPr>
        <w:pStyle w:val="5"/>
        <w:keepNext w:val="0"/>
        <w:keepLines w:val="0"/>
        <w:pageBreakBefore w:val="0"/>
        <w:widowControl/>
        <w:kinsoku/>
        <w:wordWrap/>
        <w:overflowPunct/>
        <w:topLinePunct w:val="0"/>
        <w:autoSpaceDE/>
        <w:autoSpaceDN/>
        <w:bidi w:val="0"/>
        <w:adjustRightInd w:val="0"/>
        <w:snapToGrid w:val="0"/>
        <w:ind w:firstLine="560" w:firstLineChars="200"/>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国家标准：在《食品安全国家标准 食品中农药最大残留限量》(GB2763-2021) 中，针对不同的作物，噻虫胺有不同的最大残留限量规定。例如，在</w:t>
      </w:r>
      <w:r>
        <w:rPr>
          <w:rFonts w:hint="eastAsia" w:ascii="宋体" w:hAnsi="宋体" w:eastAsia="宋体" w:cs="宋体"/>
          <w:spacing w:val="0"/>
          <w:sz w:val="28"/>
          <w:szCs w:val="28"/>
          <w:lang w:val="en-US" w:eastAsia="zh-CN"/>
        </w:rPr>
        <w:t>胡萝卜</w:t>
      </w:r>
      <w:r>
        <w:rPr>
          <w:rFonts w:hint="eastAsia" w:ascii="宋体" w:hAnsi="宋体" w:eastAsia="宋体" w:cs="宋体"/>
          <w:spacing w:val="0"/>
          <w:sz w:val="28"/>
          <w:szCs w:val="28"/>
          <w:lang w:eastAsia="zh-CN"/>
        </w:rPr>
        <w:t>中，其最大残留限量为 0.</w:t>
      </w:r>
      <w:r>
        <w:rPr>
          <w:rFonts w:hint="eastAsia" w:ascii="宋体" w:hAnsi="宋体" w:eastAsia="宋体" w:cs="宋体"/>
          <w:spacing w:val="0"/>
          <w:sz w:val="28"/>
          <w:szCs w:val="28"/>
          <w:lang w:val="en-US" w:eastAsia="zh-CN"/>
        </w:rPr>
        <w:t>2</w:t>
      </w:r>
      <w:r>
        <w:rPr>
          <w:rFonts w:hint="eastAsia" w:ascii="宋体" w:hAnsi="宋体" w:eastAsia="宋体" w:cs="宋体"/>
          <w:spacing w:val="0"/>
          <w:sz w:val="28"/>
          <w:szCs w:val="28"/>
          <w:lang w:eastAsia="zh-CN"/>
        </w:rPr>
        <w:t>mg/kg；在结球甘蓝中，最大残留限量为 0.3mg/kg（具体限量值因作物种类而异）。​</w:t>
      </w:r>
    </w:p>
    <w:p>
      <w:pPr>
        <w:pStyle w:val="5"/>
        <w:keepNext w:val="0"/>
        <w:keepLines w:val="0"/>
        <w:pageBreakBefore w:val="0"/>
        <w:widowControl/>
        <w:kinsoku/>
        <w:wordWrap/>
        <w:overflowPunct/>
        <w:topLinePunct w:val="0"/>
        <w:autoSpaceDE/>
        <w:autoSpaceDN/>
        <w:bidi w:val="0"/>
        <w:adjustRightInd w:val="0"/>
        <w:snapToGrid w:val="0"/>
        <w:ind w:firstLine="560" w:firstLineChars="200"/>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超标成因：​</w:t>
      </w:r>
    </w:p>
    <w:p>
      <w:pPr>
        <w:pStyle w:val="5"/>
        <w:keepNext w:val="0"/>
        <w:keepLines w:val="0"/>
        <w:pageBreakBefore w:val="0"/>
        <w:widowControl/>
        <w:kinsoku/>
        <w:wordWrap/>
        <w:overflowPunct/>
        <w:topLinePunct w:val="0"/>
        <w:autoSpaceDE/>
        <w:autoSpaceDN/>
        <w:bidi w:val="0"/>
        <w:adjustRightInd w:val="0"/>
        <w:snapToGrid w:val="0"/>
        <w:ind w:firstLine="560" w:firstLineChars="200"/>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部分种植户为了快速杀灭害虫，可能会擅自提高噻虫胺的使用浓度，超过推荐的用药剂量，从而导致农产品中残留量超标。​</w:t>
      </w:r>
    </w:p>
    <w:p>
      <w:pPr>
        <w:pStyle w:val="5"/>
        <w:keepNext w:val="0"/>
        <w:keepLines w:val="0"/>
        <w:pageBreakBefore w:val="0"/>
        <w:widowControl/>
        <w:kinsoku/>
        <w:wordWrap/>
        <w:overflowPunct/>
        <w:topLinePunct w:val="0"/>
        <w:autoSpaceDE/>
        <w:autoSpaceDN/>
        <w:bidi w:val="0"/>
        <w:adjustRightInd w:val="0"/>
        <w:snapToGrid w:val="0"/>
        <w:ind w:firstLine="560" w:firstLineChars="200"/>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没有严格按照规定的安全间隔期进行采摘，即最后一次施药后，未经过足够的时间让药物降解，就将农产品采摘上市，使得残留量超过标准。​</w:t>
      </w:r>
    </w:p>
    <w:p>
      <w:pPr>
        <w:pStyle w:val="5"/>
        <w:keepNext w:val="0"/>
        <w:keepLines w:val="0"/>
        <w:pageBreakBefore w:val="0"/>
        <w:widowControl/>
        <w:kinsoku/>
        <w:wordWrap/>
        <w:overflowPunct/>
        <w:topLinePunct w:val="0"/>
        <w:autoSpaceDE/>
        <w:autoSpaceDN/>
        <w:bidi w:val="0"/>
        <w:adjustRightInd w:val="0"/>
        <w:snapToGrid w:val="0"/>
        <w:ind w:firstLine="560" w:firstLineChars="200"/>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四、延伸提示​</w:t>
      </w:r>
    </w:p>
    <w:p>
      <w:pPr>
        <w:pStyle w:val="5"/>
        <w:keepNext w:val="0"/>
        <w:keepLines w:val="0"/>
        <w:pageBreakBefore w:val="0"/>
        <w:widowControl/>
        <w:kinsoku/>
        <w:wordWrap/>
        <w:overflowPunct/>
        <w:topLinePunct w:val="0"/>
        <w:autoSpaceDE/>
        <w:autoSpaceDN/>
        <w:bidi w:val="0"/>
        <w:adjustRightInd w:val="0"/>
        <w:snapToGrid w:val="0"/>
        <w:ind w:firstLine="560" w:firstLineChars="200"/>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消费者在购买农产品时，尽量选择正规的商超或农贸市场，这些地方的农产品经过了一定的检验检疫，相对更安全。在食用前，可通过充分清洗、浸泡等方式，减少农产品表面的噻虫胺残留。而种植户则应严格按照农药使用说明规范用药，遵守安全间隔期等规定，从源头上控制农药残留超标问题，保障农产品质量安全。</w:t>
      </w:r>
    </w:p>
    <w:p>
      <w:pPr>
        <w:pStyle w:val="5"/>
        <w:numPr>
          <w:ilvl w:val="0"/>
          <w:numId w:val="1"/>
        </w:numPr>
        <w:adjustRightInd w:val="0"/>
        <w:snapToGrid w:val="0"/>
        <w:ind w:firstLine="562" w:firstLineChars="200"/>
        <w:jc w:val="both"/>
        <w:rPr>
          <w:rFonts w:hint="eastAsia" w:ascii="宋体" w:hAnsi="宋体" w:eastAsia="宋体" w:cs="宋体"/>
          <w:b/>
          <w:bCs/>
          <w:spacing w:val="0"/>
          <w:kern w:val="0"/>
          <w:sz w:val="28"/>
          <w:szCs w:val="28"/>
          <w:lang w:val="en-US" w:eastAsia="zh-CN" w:bidi="zh-CN"/>
        </w:rPr>
      </w:pPr>
      <w:r>
        <w:rPr>
          <w:rFonts w:hint="eastAsia" w:ascii="宋体" w:hAnsi="宋体" w:eastAsia="宋体" w:cs="宋体"/>
          <w:b/>
          <w:bCs/>
          <w:spacing w:val="0"/>
          <w:kern w:val="0"/>
          <w:sz w:val="28"/>
          <w:szCs w:val="28"/>
          <w:lang w:val="en-US" w:eastAsia="zh-CN" w:bidi="zh-CN"/>
        </w:rPr>
        <w:t>乙螨唑：</w:t>
      </w:r>
    </w:p>
    <w:p>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宋体" w:hAnsi="宋体" w:eastAsia="宋体" w:cs="宋体"/>
          <w:spacing w:val="0"/>
          <w:sz w:val="28"/>
          <w:szCs w:val="28"/>
          <w:lang w:val="zh-TW" w:eastAsia="zh-CN"/>
        </w:rPr>
      </w:pPr>
      <w:r>
        <w:rPr>
          <w:rFonts w:hint="eastAsia" w:ascii="宋体" w:hAnsi="宋体" w:eastAsia="宋体" w:cs="宋体"/>
          <w:spacing w:val="0"/>
          <w:sz w:val="28"/>
          <w:szCs w:val="28"/>
          <w:lang w:val="zh-TW" w:eastAsia="zh-CN"/>
        </w:rPr>
        <w:t>一、乙螨唑的基本属性</w:t>
      </w:r>
    </w:p>
    <w:p>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宋体" w:hAnsi="宋体" w:eastAsia="宋体" w:cs="宋体"/>
          <w:spacing w:val="0"/>
          <w:sz w:val="28"/>
          <w:szCs w:val="28"/>
          <w:lang w:val="zh-TW" w:eastAsia="zh-CN"/>
        </w:rPr>
      </w:pPr>
      <w:r>
        <w:rPr>
          <w:rFonts w:hint="eastAsia" w:ascii="宋体" w:hAnsi="宋体" w:eastAsia="宋体" w:cs="宋体"/>
          <w:spacing w:val="0"/>
          <w:sz w:val="28"/>
          <w:szCs w:val="28"/>
          <w:lang w:val="zh-TW" w:eastAsia="zh-CN"/>
        </w:rPr>
        <w:t>用途与类别：乙螨唑是一种新型酰基乙胺类选择性杀螨剂，具有高效、持效期长的特点，对果树、蔬菜、花卉等作物上的叶螨科害虫（如红蜘蛛、黄蜘蛛）有显著防治效果，尤其对螨卵和幼螨作用突出。</w:t>
      </w:r>
    </w:p>
    <w:p>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宋体" w:hAnsi="宋体" w:eastAsia="宋体" w:cs="宋体"/>
          <w:spacing w:val="0"/>
          <w:sz w:val="28"/>
          <w:szCs w:val="28"/>
          <w:lang w:val="zh-TW" w:eastAsia="zh-CN"/>
        </w:rPr>
      </w:pPr>
      <w:r>
        <w:rPr>
          <w:rFonts w:hint="eastAsia" w:ascii="宋体" w:hAnsi="宋体" w:eastAsia="宋体" w:cs="宋体"/>
          <w:spacing w:val="0"/>
          <w:sz w:val="28"/>
          <w:szCs w:val="28"/>
          <w:lang w:val="zh-TW" w:eastAsia="zh-CN"/>
        </w:rPr>
        <w:t>杀虫原理：通过抑制螨类的蜕皮过程（干扰几丁质合成），阻止幼螨发育为成螨，从而达到控制螨类种群的目的，对成螨无直接杀灭作用，但可降低其繁殖能力。</w:t>
      </w:r>
    </w:p>
    <w:p>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宋体" w:hAnsi="宋体" w:eastAsia="宋体" w:cs="宋体"/>
          <w:spacing w:val="0"/>
          <w:sz w:val="28"/>
          <w:szCs w:val="28"/>
          <w:lang w:val="zh-TW" w:eastAsia="zh-CN"/>
        </w:rPr>
      </w:pPr>
      <w:r>
        <w:rPr>
          <w:rFonts w:hint="eastAsia" w:ascii="宋体" w:hAnsi="宋体" w:eastAsia="宋体" w:cs="宋体"/>
          <w:spacing w:val="0"/>
          <w:sz w:val="28"/>
          <w:szCs w:val="28"/>
          <w:lang w:val="zh-TW" w:eastAsia="zh-CN"/>
        </w:rPr>
        <w:t>二、对人体健康的影响</w:t>
      </w:r>
    </w:p>
    <w:p>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宋体" w:hAnsi="宋体" w:eastAsia="宋体" w:cs="宋体"/>
          <w:spacing w:val="0"/>
          <w:sz w:val="28"/>
          <w:szCs w:val="28"/>
          <w:lang w:val="zh-TW" w:eastAsia="zh-CN"/>
        </w:rPr>
      </w:pPr>
      <w:r>
        <w:rPr>
          <w:rFonts w:hint="eastAsia" w:ascii="宋体" w:hAnsi="宋体" w:eastAsia="宋体" w:cs="宋体"/>
          <w:spacing w:val="0"/>
          <w:sz w:val="28"/>
          <w:szCs w:val="28"/>
          <w:lang w:val="zh-TW" w:eastAsia="zh-CN"/>
        </w:rPr>
        <w:t>急性毒性：乙螨唑属于低毒杀螨剂，经口、经皮毒性较低，大鼠经口 LD₅₀（半数致死量）&gt;5000mg/kg，经皮 LD₅₀&gt;2000mg/kg，吸入毒性也较低（大鼠吸入 LC₅₀&gt;4.7mg/L）。一般急性接触（如误服少量）不会导致严重中毒，大量误服可能引发胃肠道不适（如恶心、呕吐）。</w:t>
      </w:r>
    </w:p>
    <w:p>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宋体" w:hAnsi="宋体" w:eastAsia="宋体" w:cs="宋体"/>
          <w:spacing w:val="0"/>
          <w:sz w:val="28"/>
          <w:szCs w:val="28"/>
          <w:lang w:val="zh-TW" w:eastAsia="zh-CN"/>
        </w:rPr>
      </w:pPr>
      <w:r>
        <w:rPr>
          <w:rFonts w:hint="eastAsia" w:ascii="宋体" w:hAnsi="宋体" w:eastAsia="宋体" w:cs="宋体"/>
          <w:spacing w:val="0"/>
          <w:sz w:val="28"/>
          <w:szCs w:val="28"/>
          <w:lang w:val="zh-TW" w:eastAsia="zh-CN"/>
        </w:rPr>
        <w:t>长期影响：目前关于乙螨唑长期低剂量摄入对人体健康的影响研究仍在进行中，动物实验显示高剂量可能对肝脏、甲状腺产生轻微影响，但未发现致癌、致畸性，尚无人类慢性中毒案例，职业暴露人群需注意防护。</w:t>
      </w:r>
    </w:p>
    <w:p>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宋体" w:hAnsi="宋体" w:eastAsia="宋体" w:cs="宋体"/>
          <w:spacing w:val="0"/>
          <w:sz w:val="28"/>
          <w:szCs w:val="28"/>
          <w:lang w:val="zh-TW" w:eastAsia="zh-CN"/>
        </w:rPr>
      </w:pPr>
      <w:r>
        <w:rPr>
          <w:rFonts w:hint="eastAsia" w:ascii="宋体" w:hAnsi="宋体" w:eastAsia="宋体" w:cs="宋体"/>
          <w:spacing w:val="0"/>
          <w:sz w:val="28"/>
          <w:szCs w:val="28"/>
          <w:lang w:val="zh-TW" w:eastAsia="zh-CN"/>
        </w:rPr>
        <w:t>三、相关残留限量与超标原因</w:t>
      </w:r>
    </w:p>
    <w:p>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宋体" w:hAnsi="宋体" w:eastAsia="宋体" w:cs="宋体"/>
          <w:spacing w:val="0"/>
          <w:sz w:val="28"/>
          <w:szCs w:val="28"/>
          <w:lang w:val="zh-TW" w:eastAsia="zh-CN"/>
        </w:rPr>
      </w:pPr>
      <w:r>
        <w:rPr>
          <w:rFonts w:hint="eastAsia" w:ascii="宋体" w:hAnsi="宋体" w:eastAsia="宋体" w:cs="宋体"/>
          <w:spacing w:val="0"/>
          <w:sz w:val="28"/>
          <w:szCs w:val="28"/>
          <w:lang w:val="zh-TW" w:eastAsia="zh-CN"/>
        </w:rPr>
        <w:t>国家标准：在《食品安全国家标准 食品中农药最大残留限量》（GB 2763-2023）中，针对不同作物，乙螨唑有不同的最大残留限量规定。例如，柑橘类水果中最大残留限量为 2.0mg/kg；苹果中为 1.0mg/kg；辣椒中为 0.5mg/kg（具体限量值因作物种类而异）。</w:t>
      </w:r>
    </w:p>
    <w:p>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宋体" w:hAnsi="宋体" w:eastAsia="宋体" w:cs="宋体"/>
          <w:spacing w:val="0"/>
          <w:sz w:val="28"/>
          <w:szCs w:val="28"/>
          <w:lang w:val="zh-TW" w:eastAsia="zh-CN"/>
        </w:rPr>
      </w:pPr>
      <w:r>
        <w:rPr>
          <w:rFonts w:hint="eastAsia" w:ascii="宋体" w:hAnsi="宋体" w:eastAsia="宋体" w:cs="宋体"/>
          <w:spacing w:val="0"/>
          <w:sz w:val="28"/>
          <w:szCs w:val="28"/>
          <w:lang w:val="zh-TW" w:eastAsia="zh-CN"/>
        </w:rPr>
        <w:t>超标成因：</w:t>
      </w:r>
    </w:p>
    <w:p>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宋体" w:hAnsi="宋体" w:eastAsia="宋体" w:cs="宋体"/>
          <w:spacing w:val="0"/>
          <w:sz w:val="28"/>
          <w:szCs w:val="28"/>
          <w:lang w:val="zh-TW" w:eastAsia="zh-CN"/>
        </w:rPr>
      </w:pPr>
      <w:r>
        <w:rPr>
          <w:rFonts w:hint="eastAsia" w:ascii="宋体" w:hAnsi="宋体" w:eastAsia="宋体" w:cs="宋体"/>
          <w:spacing w:val="0"/>
          <w:sz w:val="28"/>
          <w:szCs w:val="28"/>
          <w:lang w:val="zh-TW" w:eastAsia="zh-CN"/>
        </w:rPr>
        <w:t>部分种植户为增强防治效果，擅自提高乙螨唑的使用浓度，超过推荐用药剂量，导致农产品中残留量超标。</w:t>
      </w:r>
    </w:p>
    <w:p>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宋体" w:hAnsi="宋体" w:eastAsia="宋体" w:cs="宋体"/>
          <w:spacing w:val="0"/>
          <w:sz w:val="28"/>
          <w:szCs w:val="28"/>
          <w:lang w:val="zh-TW" w:eastAsia="zh-CN"/>
        </w:rPr>
      </w:pPr>
      <w:r>
        <w:rPr>
          <w:rFonts w:hint="eastAsia" w:ascii="宋体" w:hAnsi="宋体" w:eastAsia="宋体" w:cs="宋体"/>
          <w:spacing w:val="0"/>
          <w:sz w:val="28"/>
          <w:szCs w:val="28"/>
          <w:lang w:val="zh-TW" w:eastAsia="zh-CN"/>
        </w:rPr>
        <w:t>没有严格按照规定的安全间隔期采摘，最后一次施药后，未经过足够时间让药物降解就将农产品采摘上市，使得残留量超过标准。此外，施药方式不当（如直接对果实喷施）、环境条件（低温、高湿等）延缓药物降解也可能导致残留超标。</w:t>
      </w:r>
    </w:p>
    <w:p>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宋体" w:hAnsi="宋体" w:eastAsia="宋体" w:cs="宋体"/>
          <w:spacing w:val="0"/>
          <w:sz w:val="28"/>
          <w:szCs w:val="28"/>
          <w:lang w:val="zh-TW" w:eastAsia="zh-CN"/>
        </w:rPr>
      </w:pPr>
      <w:r>
        <w:rPr>
          <w:rFonts w:hint="eastAsia" w:ascii="宋体" w:hAnsi="宋体" w:eastAsia="宋体" w:cs="宋体"/>
          <w:spacing w:val="0"/>
          <w:sz w:val="28"/>
          <w:szCs w:val="28"/>
          <w:lang w:val="zh-TW" w:eastAsia="zh-CN"/>
        </w:rPr>
        <w:t>四、延伸提示</w:t>
      </w:r>
    </w:p>
    <w:p>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宋体" w:hAnsi="宋体" w:eastAsia="宋体" w:cs="宋体"/>
          <w:spacing w:val="0"/>
          <w:sz w:val="28"/>
          <w:szCs w:val="28"/>
          <w:lang w:val="zh-TW" w:eastAsia="zh-CN"/>
        </w:rPr>
      </w:pPr>
      <w:r>
        <w:rPr>
          <w:rFonts w:hint="eastAsia" w:ascii="宋体" w:hAnsi="宋体" w:eastAsia="宋体" w:cs="宋体"/>
          <w:spacing w:val="0"/>
          <w:sz w:val="28"/>
          <w:szCs w:val="28"/>
          <w:lang w:val="zh-TW" w:eastAsia="zh-CN"/>
        </w:rPr>
        <w:t>消费者在购买农产品时，尽量选择正规的商超或农贸市场，这些地方的农产品经过一定检验检疫，相对更安全。食用前，可通过流动水冲洗 30 秒以上或去皮（如柑橘、苹果）等方式，减少表面的乙螨唑残留。种植户应严格按照农药使用说明规范用药，遵守安全间隔期等规定，从源头上控制农药残留超标问题，保障农产品质量安全。</w:t>
      </w:r>
    </w:p>
    <w:p>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宋体" w:hAnsi="宋体" w:eastAsia="宋体" w:cs="宋体"/>
          <w:spacing w:val="0"/>
          <w:sz w:val="28"/>
          <w:szCs w:val="28"/>
          <w:lang w:val="zh-TW"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2C0F66"/>
    <w:multiLevelType w:val="singleLevel"/>
    <w:tmpl w:val="CD2C0F66"/>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lOWQwMWQyZjZlMDc5ZTQwMzBlNmQ2ZmQ4MmVlNTAifQ=="/>
  </w:docVars>
  <w:rsids>
    <w:rsidRoot w:val="00000000"/>
    <w:rsid w:val="08500500"/>
    <w:rsid w:val="192442DB"/>
    <w:rsid w:val="1A7A0F0A"/>
    <w:rsid w:val="24B110EB"/>
    <w:rsid w:val="277437AE"/>
    <w:rsid w:val="2B7C2D11"/>
    <w:rsid w:val="48E324BF"/>
    <w:rsid w:val="4C422631"/>
    <w:rsid w:val="53FB3F6B"/>
    <w:rsid w:val="5ADD1E8F"/>
    <w:rsid w:val="6DD93173"/>
    <w:rsid w:val="6EC00CC5"/>
    <w:rsid w:val="79AD0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Times New Roman" w:hAnsi="Times New Roman" w:cs="Times New Roman" w:eastAsiaTheme="minorEastAsia"/>
      <w:kern w:val="0"/>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rPr>
      <w:rFonts w:ascii="宋体" w:hAnsi="宋体" w:eastAsia="宋体" w:cs="宋体"/>
      <w:sz w:val="21"/>
      <w:szCs w:val="21"/>
      <w:lang w:val="zh-CN" w:eastAsia="zh-CN" w:bidi="zh-CN"/>
    </w:rPr>
  </w:style>
  <w:style w:type="paragraph" w:customStyle="1" w:styleId="5">
    <w:name w:val="A正文"/>
    <w:qFormat/>
    <w:uiPriority w:val="99"/>
    <w:pPr>
      <w:spacing w:line="360" w:lineRule="auto"/>
    </w:pPr>
    <w:rPr>
      <w:rFonts w:ascii="Times New Roman" w:hAnsi="Times New Roman" w:eastAsia="华文中宋" w:cs="Times New Roman"/>
      <w:kern w:val="2"/>
      <w:sz w:val="24"/>
      <w:szCs w:val="4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1501</Words>
  <Characters>1561</Characters>
  <Lines>0</Lines>
  <Paragraphs>0</Paragraphs>
  <TotalTime>15</TotalTime>
  <ScaleCrop>false</ScaleCrop>
  <LinksUpToDate>false</LinksUpToDate>
  <CharactersWithSpaces>1569</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2024-05-24T09:02:00Z</dcterms:created>
  <dc:creator>Admin-km</dc:creator>
  <cp:lastModifiedBy>greatwall</cp:lastModifiedBy>
  <dcterms:modified xsi:type="dcterms:W3CDTF">2025-09-08T18:26:16Z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6CE21B51D3D74D25A303FB181A49F424_13</vt:lpwstr>
  </property>
  <property fmtid="{D5CDD505-2E9C-101B-9397-08002B2CF9AE}" pid="4" name="KSOTemplateDocerSaveRecord">
    <vt:lpwstr>eyJoZGlkIjoiMjFiODc4YmJkNjI1MzFiNmE0NDIwMDMxN2ViMTUyNmYiLCJ1c2VySWQiOiIzODE4NjA1MzIifQ==</vt:lpwstr>
  </property>
</Properties>
</file>