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C0A2C">
      <w:pPr>
        <w:spacing w:before="101" w:line="224" w:lineRule="auto"/>
        <w:rPr>
          <w:rFonts w:hint="eastAsia" w:ascii="宋体" w:hAnsi="宋体" w:eastAsia="宋体" w:cs="宋体"/>
          <w:sz w:val="32"/>
          <w:szCs w:val="32"/>
          <w:lang w:eastAsia="zh-CN"/>
        </w:rPr>
      </w:pPr>
      <w:r>
        <w:rPr>
          <w:rFonts w:hint="eastAsia" w:ascii="宋体" w:hAnsi="宋体" w:eastAsia="宋体" w:cs="宋体"/>
          <w:b/>
          <w:bCs/>
          <w:spacing w:val="28"/>
          <w:sz w:val="32"/>
          <w:szCs w:val="32"/>
        </w:rPr>
        <w:t>附件</w:t>
      </w:r>
      <w:r>
        <w:rPr>
          <w:rFonts w:hint="eastAsia" w:ascii="宋体" w:hAnsi="宋体" w:eastAsia="宋体" w:cs="宋体"/>
          <w:b/>
          <w:bCs/>
          <w:spacing w:val="28"/>
          <w:sz w:val="32"/>
          <w:szCs w:val="32"/>
          <w:lang w:val="en-US" w:eastAsia="zh-CN"/>
        </w:rPr>
        <w:t>3</w:t>
      </w:r>
    </w:p>
    <w:p w14:paraId="70B11CB0">
      <w:pPr>
        <w:spacing w:before="140" w:line="219" w:lineRule="auto"/>
        <w:ind w:left="2241"/>
        <w:rPr>
          <w:rFonts w:ascii="宋体" w:hAnsi="宋体" w:eastAsia="宋体" w:cs="宋体"/>
          <w:b/>
          <w:bCs/>
          <w:spacing w:val="-4"/>
          <w:sz w:val="44"/>
          <w:szCs w:val="44"/>
        </w:rPr>
      </w:pPr>
      <w:r>
        <w:rPr>
          <w:rFonts w:ascii="Times New Roman" w:hAnsi="Times New Roman" w:eastAsia="宋体" w:cs="Times New Roman"/>
          <w:b/>
          <w:bCs/>
          <w:spacing w:val="-4"/>
          <w:sz w:val="44"/>
          <w:szCs w:val="44"/>
        </w:rPr>
        <w:t>部分</w:t>
      </w:r>
      <w:r>
        <w:rPr>
          <w:rFonts w:ascii="宋体" w:hAnsi="宋体" w:eastAsia="宋体" w:cs="宋体"/>
          <w:b/>
          <w:bCs/>
          <w:spacing w:val="-4"/>
          <w:sz w:val="44"/>
          <w:szCs w:val="44"/>
        </w:rPr>
        <w:t>不合格项目小知识</w:t>
      </w:r>
    </w:p>
    <w:p w14:paraId="7B541525">
      <w:pPr>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仿宋_GB2312" w:hAnsi="仿宋_GB2312" w:eastAsia="仿宋_GB2312" w:cs="仿宋_GB2312"/>
          <w:b/>
          <w:bCs/>
          <w:spacing w:val="12"/>
          <w:sz w:val="28"/>
          <w:szCs w:val="28"/>
          <w:lang w:val="en-US" w:eastAsia="zh-CN"/>
        </w:rPr>
      </w:pPr>
    </w:p>
    <w:p w14:paraId="1B3C3CF5">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643" w:firstLineChars="200"/>
        <w:jc w:val="both"/>
        <w:textAlignment w:val="auto"/>
        <w:rPr>
          <w:rFonts w:hint="eastAsia" w:ascii="Times New Roman" w:hAnsi="Times New Roman" w:eastAsia="仿宋" w:cs="Times New Roman"/>
          <w:spacing w:val="0"/>
          <w:sz w:val="32"/>
          <w:szCs w:val="32"/>
        </w:rPr>
      </w:pPr>
      <w:r>
        <w:rPr>
          <w:rFonts w:hint="default" w:ascii="仿宋" w:hAnsi="仿宋" w:eastAsia="仿宋" w:cs="仿宋"/>
          <w:b/>
          <w:bCs/>
          <w:spacing w:val="0"/>
          <w:kern w:val="0"/>
          <w:sz w:val="32"/>
          <w:szCs w:val="32"/>
          <w:lang w:val="en-US" w:eastAsia="zh-CN" w:bidi="ar-SA"/>
        </w:rPr>
        <w:t>咪鲜胺和咪鲜胺锰盐</w:t>
      </w:r>
      <w:r>
        <w:rPr>
          <w:rFonts w:hint="eastAsia" w:ascii="仿宋" w:hAnsi="仿宋" w:eastAsia="仿宋" w:cs="仿宋"/>
          <w:b/>
          <w:bCs/>
          <w:spacing w:val="0"/>
          <w:kern w:val="0"/>
          <w:sz w:val="32"/>
          <w:szCs w:val="32"/>
          <w:lang w:val="en-US" w:eastAsia="zh-CN" w:bidi="ar-SA"/>
        </w:rPr>
        <w:t>：</w:t>
      </w:r>
      <w:r>
        <w:rPr>
          <w:rFonts w:hint="eastAsia" w:ascii="Times New Roman" w:hAnsi="Times New Roman" w:eastAsia="仿宋" w:cs="Times New Roman"/>
          <w:spacing w:val="0"/>
          <w:sz w:val="32"/>
          <w:szCs w:val="32"/>
        </w:rPr>
        <w:t>咪鲜胺主要是通过抑制甾醇的生物合成，使病菌细胞壁受到干扰，对子囊菌引起的多种植物病害有特效，同时还能防治水稻稻瘟病、恶苗病、蘑菇褐斑病、油菜菌核病和多种作物炭疽病。具有一定的传导作用，当通过种子处理进入土壤的药剂，主要降解为易挥发的代谢产物，易被土壤颗粒吸附，不易被雨水冲刷。此药在土壤中对土壤内其他生物低毒，但对某些土壤中的真菌有抑制作用。咪鲜胺锰盐又叫咪鲜胺锰络合物，是由咪鲜胺与氯化锰复合而成，其防病性能与咪鲜胺极为相似。咪鲜胺锰盐也是通过抑制甾醇的生物合成而起作用，在植物体内具有内吸传导作用，对于子囊菌和半知菌引起的多种病害防效极佳。咪鲜胺锰盐具有内吸、传导、预防、保护、治疗等多重作用。在山药的种植过程中，容易感染炭疽病。山药炭疽病是由胶孢炭疽菌等引起的、发生在山药的病害。主要危害山药叶片、叶柄、茎等。叶片形成近圆形或不规则形病斑，褐色至暗褐色，上生小黑点，后期病斑中尖褪色至灰白色，并破裂或穿孔。有些地区在种植山药时为了防范山药炭疽病会喷撒含咪鲜胺和咪鲜胺锰盐的化学药剂，对剂量和休药期把握不准，导致残留超过限量。</w:t>
      </w:r>
    </w:p>
    <w:p w14:paraId="59D0A956">
      <w:pPr>
        <w:pStyle w:val="2"/>
        <w:keepNext w:val="0"/>
        <w:keepLines w:val="0"/>
        <w:pageBreakBefore w:val="0"/>
        <w:widowControl w:val="0"/>
        <w:kinsoku/>
        <w:wordWrap/>
        <w:overflowPunct/>
        <w:topLinePunct w:val="0"/>
        <w:autoSpaceDE w:val="0"/>
        <w:autoSpaceDN w:val="0"/>
        <w:bidi w:val="0"/>
        <w:adjustRightInd w:val="0"/>
        <w:spacing w:line="360" w:lineRule="auto"/>
        <w:ind w:firstLine="643" w:firstLineChars="200"/>
        <w:textAlignment w:val="auto"/>
        <w:rPr>
          <w:rFonts w:hint="eastAsia" w:ascii="仿宋" w:hAnsi="仿宋" w:eastAsia="仿宋" w:cs="仿宋"/>
          <w:b w:val="0"/>
          <w:bCs w:val="0"/>
          <w:spacing w:val="0"/>
          <w:sz w:val="32"/>
          <w:szCs w:val="32"/>
          <w:lang w:eastAsia="zh-CN"/>
        </w:rPr>
      </w:pPr>
      <w:r>
        <w:rPr>
          <w:rFonts w:hint="eastAsia" w:ascii="仿宋" w:hAnsi="仿宋" w:eastAsia="仿宋" w:cs="仿宋"/>
          <w:b/>
          <w:bCs/>
          <w:spacing w:val="0"/>
          <w:sz w:val="32"/>
          <w:szCs w:val="32"/>
          <w:lang w:val="en-US" w:eastAsia="zh-CN"/>
        </w:rPr>
        <w:t>2.总糖分</w:t>
      </w:r>
      <w:r>
        <w:rPr>
          <w:rFonts w:hint="eastAsia" w:ascii="仿宋" w:hAnsi="仿宋" w:eastAsia="仿宋" w:cs="仿宋"/>
          <w:b/>
          <w:bCs/>
          <w:spacing w:val="0"/>
          <w:sz w:val="32"/>
          <w:szCs w:val="32"/>
          <w:lang w:eastAsia="zh-CN"/>
        </w:rPr>
        <w:t>：</w:t>
      </w:r>
      <w:r>
        <w:rPr>
          <w:rFonts w:hint="eastAsia" w:ascii="仿宋" w:hAnsi="仿宋" w:eastAsia="仿宋" w:cs="仿宋"/>
          <w:b w:val="0"/>
          <w:bCs w:val="0"/>
          <w:spacing w:val="0"/>
          <w:sz w:val="32"/>
          <w:szCs w:val="32"/>
          <w:lang w:eastAsia="zh-CN"/>
        </w:rPr>
        <w:t>总糖分是由蔗糖分和还原糖分之和决定的，反映的是食品中可溶性单糖和低聚糖的总量，是食糖的重要质量指标。总糖分含量不合格可能是因为制糖企业和流通市场储存方式不当，生产工艺控制不好而受霉菌污染而发酵。</w:t>
      </w:r>
    </w:p>
    <w:p w14:paraId="1CD967A9">
      <w:pPr>
        <w:pStyle w:val="2"/>
        <w:keepNext w:val="0"/>
        <w:keepLines w:val="0"/>
        <w:pageBreakBefore w:val="0"/>
        <w:widowControl w:val="0"/>
        <w:kinsoku/>
        <w:wordWrap/>
        <w:overflowPunct/>
        <w:topLinePunct w:val="0"/>
        <w:autoSpaceDE w:val="0"/>
        <w:autoSpaceDN w:val="0"/>
        <w:bidi w:val="0"/>
        <w:adjustRightInd w:val="0"/>
        <w:spacing w:line="360" w:lineRule="auto"/>
        <w:ind w:firstLine="643" w:firstLineChars="200"/>
        <w:textAlignment w:val="auto"/>
        <w:rPr>
          <w:rFonts w:hint="eastAsia"/>
          <w:spacing w:val="0"/>
          <w:sz w:val="32"/>
          <w:szCs w:val="32"/>
          <w:lang w:val="en-US" w:eastAsia="zh-CN"/>
        </w:rPr>
      </w:pPr>
      <w:r>
        <w:rPr>
          <w:rFonts w:hint="eastAsia" w:ascii="仿宋" w:hAnsi="仿宋" w:eastAsia="仿宋" w:cs="仿宋"/>
          <w:b/>
          <w:bCs/>
          <w:spacing w:val="0"/>
          <w:sz w:val="32"/>
          <w:szCs w:val="32"/>
          <w:lang w:val="en-US" w:eastAsia="zh-CN"/>
        </w:rPr>
        <w:t>3.还原糖分</w:t>
      </w:r>
      <w:r>
        <w:rPr>
          <w:rFonts w:hint="eastAsia" w:ascii="仿宋" w:hAnsi="仿宋" w:eastAsia="仿宋" w:cs="仿宋"/>
          <w:b/>
          <w:bCs/>
          <w:spacing w:val="0"/>
          <w:sz w:val="32"/>
          <w:szCs w:val="32"/>
          <w:lang w:eastAsia="zh-CN"/>
        </w:rPr>
        <w:t>：</w:t>
      </w:r>
      <w:r>
        <w:rPr>
          <w:rFonts w:hint="eastAsia" w:ascii="仿宋" w:hAnsi="仿宋" w:eastAsia="仿宋" w:cs="仿宋"/>
          <w:spacing w:val="0"/>
          <w:kern w:val="0"/>
          <w:sz w:val="32"/>
          <w:szCs w:val="32"/>
          <w:lang w:val="en-US" w:eastAsia="zh-CN" w:bidi="ar-SA"/>
        </w:rPr>
        <w:t>还原糖分是食糖的质量指标之一，反映了食糖中还原糖的含量。还原糖分是区分绵白糖和白砂糖的主要参数之一，绵白糖的外观和口感与还原糖的含量密切相关。GB/T 1445-2018《绵白糖》中规定，白糖中的还原糖分要在1.5%～2.5%范围内。造成还原糖分不合格的可能原因是，绵白糖生产过程中工艺控制不良，或用其他品种的食糖充当绵白糖。</w:t>
      </w:r>
    </w:p>
    <w:p w14:paraId="601D8A9C">
      <w:pPr>
        <w:pStyle w:val="2"/>
        <w:keepNext w:val="0"/>
        <w:keepLines w:val="0"/>
        <w:pageBreakBefore w:val="0"/>
        <w:widowControl w:val="0"/>
        <w:kinsoku/>
        <w:wordWrap/>
        <w:overflowPunct/>
        <w:topLinePunct w:val="0"/>
        <w:autoSpaceDE w:val="0"/>
        <w:autoSpaceDN w:val="0"/>
        <w:bidi w:val="0"/>
        <w:adjustRightInd w:val="0"/>
        <w:spacing w:line="360" w:lineRule="auto"/>
        <w:ind w:firstLine="643" w:firstLineChars="200"/>
        <w:textAlignment w:val="auto"/>
        <w:rPr>
          <w:rFonts w:hint="eastAsia"/>
          <w:spacing w:val="0"/>
          <w:sz w:val="32"/>
          <w:szCs w:val="32"/>
          <w:lang w:val="en-US" w:eastAsia="zh-CN"/>
        </w:rPr>
      </w:pPr>
      <w:r>
        <w:rPr>
          <w:rFonts w:hint="eastAsia" w:ascii="仿宋" w:hAnsi="仿宋" w:eastAsia="仿宋" w:cs="仿宋"/>
          <w:b/>
          <w:bCs/>
          <w:spacing w:val="0"/>
          <w:sz w:val="32"/>
          <w:szCs w:val="32"/>
          <w:lang w:val="en-US" w:eastAsia="zh-CN"/>
        </w:rPr>
        <w:t>4.柠檬黄</w:t>
      </w:r>
      <w:r>
        <w:rPr>
          <w:rFonts w:hint="eastAsia" w:ascii="仿宋" w:hAnsi="仿宋" w:eastAsia="仿宋" w:cs="仿宋"/>
          <w:b/>
          <w:bCs/>
          <w:spacing w:val="0"/>
          <w:sz w:val="32"/>
          <w:szCs w:val="32"/>
          <w:lang w:eastAsia="zh-CN"/>
        </w:rPr>
        <w:t>：</w:t>
      </w:r>
      <w:r>
        <w:rPr>
          <w:rFonts w:hint="eastAsia" w:ascii="仿宋" w:hAnsi="仿宋" w:eastAsia="仿宋" w:cs="仿宋"/>
          <w:spacing w:val="0"/>
          <w:kern w:val="0"/>
          <w:sz w:val="32"/>
          <w:szCs w:val="32"/>
          <w:lang w:val="en-US" w:eastAsia="zh-CN" w:bidi="ar-SA"/>
        </w:rPr>
        <w:t>监督抽检发现部分食品存在超范围或超限量使用食用色素（主要是柠檬黄、日落黄、胭脂红、诱惑红、苋菜红、亮蓝等）的情况。原因可能是由于企业为增加产品卖相，或者弥补原料品质较低而超范围超量添加，或者未准确计量，个别产品食用色素超标不排除掺假。</w:t>
      </w:r>
    </w:p>
    <w:p w14:paraId="44FD5369">
      <w:pPr>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textAlignment w:val="auto"/>
        <w:rPr>
          <w:rFonts w:hint="eastAsia" w:ascii="仿宋" w:hAnsi="仿宋" w:eastAsia="仿宋" w:cs="仿宋"/>
          <w:spacing w:val="0"/>
          <w:kern w:val="0"/>
          <w:sz w:val="32"/>
          <w:szCs w:val="32"/>
          <w:lang w:val="en-US" w:eastAsia="zh-CN" w:bidi="ar-SA"/>
        </w:rPr>
      </w:pPr>
      <w:r>
        <w:rPr>
          <w:rFonts w:hint="eastAsia" w:ascii="仿宋" w:hAnsi="仿宋" w:eastAsia="仿宋" w:cs="仿宋"/>
          <w:b/>
          <w:bCs/>
          <w:spacing w:val="0"/>
          <w:sz w:val="32"/>
          <w:szCs w:val="32"/>
          <w:lang w:val="en-US" w:eastAsia="zh-CN"/>
        </w:rPr>
        <w:t>5.</w:t>
      </w:r>
      <w:r>
        <w:rPr>
          <w:rFonts w:hint="eastAsia" w:ascii="仿宋" w:hAnsi="仿宋" w:eastAsia="仿宋" w:cs="仿宋"/>
          <w:b/>
          <w:bCs/>
          <w:spacing w:val="0"/>
          <w:sz w:val="32"/>
          <w:szCs w:val="32"/>
        </w:rPr>
        <w:t>噻虫胺</w:t>
      </w:r>
      <w:r>
        <w:rPr>
          <w:rFonts w:hint="eastAsia" w:ascii="仿宋" w:hAnsi="仿宋" w:eastAsia="仿宋" w:cs="仿宋"/>
          <w:b/>
          <w:bCs/>
          <w:spacing w:val="0"/>
          <w:sz w:val="32"/>
          <w:szCs w:val="32"/>
          <w:lang w:eastAsia="zh-CN"/>
        </w:rPr>
        <w:t>：</w:t>
      </w:r>
      <w:r>
        <w:rPr>
          <w:rFonts w:hint="eastAsia" w:ascii="仿宋" w:hAnsi="仿宋" w:eastAsia="仿宋" w:cs="仿宋"/>
          <w:spacing w:val="0"/>
          <w:kern w:val="0"/>
          <w:sz w:val="32"/>
          <w:szCs w:val="32"/>
          <w:lang w:val="en-US" w:eastAsia="zh-CN" w:bidi="ar-SA"/>
        </w:rPr>
        <w:t>噻虫胺是一种新烟碱类杀虫剂，具有触杀、胃毒和内吸活性，主要用于叶面喷雾及土壤灌根处理。它对蚜虫、斑潜蝇等害虫有较好的防效。根据GB 2763-2021《食品安全国家标准 食品中农药最大残留限量》规定，生姜中噻虫胺的最大残留限量为0.2mg/kg，噻虫胺不达标可能有以下主要原因：在使用该农药后没有遵守足够的等待期（采摘间隔期），导致农产品中残留量超过食品安全标准。噻虫胺是一种新烟碱类杀虫剂，具有内吸性、触杀和胃毒作用。虽然少量的残留不会引起人体急性中毒，但如果长期食用含有超标噻虫胺的食品，可能会对人体健康产生一定的影响。此外，种植户为了快速控制虫害，有时会加大用药量，这也可能导致残留量超标。</w:t>
      </w:r>
    </w:p>
    <w:p w14:paraId="619F33F8">
      <w:pPr>
        <w:keepNext w:val="0"/>
        <w:keepLines w:val="0"/>
        <w:pageBreakBefore w:val="0"/>
        <w:widowControl w:val="0"/>
        <w:kinsoku/>
        <w:wordWrap/>
        <w:overflowPunct/>
        <w:topLinePunct w:val="0"/>
        <w:autoSpaceDE w:val="0"/>
        <w:autoSpaceDN w:val="0"/>
        <w:bidi w:val="0"/>
        <w:adjustRightInd w:val="0"/>
        <w:spacing w:line="360" w:lineRule="auto"/>
        <w:ind w:firstLine="643" w:firstLineChars="200"/>
        <w:textAlignment w:val="auto"/>
        <w:rPr>
          <w:rFonts w:hint="default"/>
          <w:spacing w:val="0"/>
          <w:sz w:val="32"/>
          <w:szCs w:val="32"/>
          <w:lang w:val="zh-TW" w:eastAsia="zh-CN"/>
        </w:rPr>
      </w:pPr>
      <w:r>
        <w:rPr>
          <w:rFonts w:hint="eastAsia" w:ascii="仿宋" w:hAnsi="仿宋" w:eastAsia="仿宋" w:cs="仿宋"/>
          <w:b/>
          <w:bCs/>
          <w:spacing w:val="0"/>
          <w:kern w:val="0"/>
          <w:sz w:val="32"/>
          <w:szCs w:val="32"/>
          <w:lang w:val="en-US" w:eastAsia="zh-CN" w:bidi="ar-SA"/>
        </w:rPr>
        <w:t>6.毒死蜱：</w:t>
      </w:r>
      <w:r>
        <w:rPr>
          <w:rFonts w:hint="eastAsia" w:ascii="仿宋" w:hAnsi="仿宋" w:eastAsia="仿宋" w:cs="仿宋"/>
          <w:spacing w:val="0"/>
          <w:kern w:val="0"/>
          <w:sz w:val="32"/>
          <w:szCs w:val="32"/>
          <w:lang w:val="en-US" w:eastAsia="zh-CN" w:bidi="ar-SA"/>
        </w:rPr>
        <w:t>是一种硫代磷酸酯类有机磷杀虫、杀螨剂，具有触杀、胃毒和熏蒸作用。它在食品中的残留量通常不会引起急性中毒，但如果长期食用残留超标的食品，可能对人体健康造成一定影响。根据《食品安全国家标准 食品中农药最大残留限量》（GB 2763—2021），毒死蜱在姜中的最大残留限量值为0.02mg/kg。如果检测结果显示毒死蜱残留量超过这一限量值，则被视为不合格。</w:t>
      </w:r>
    </w:p>
    <w:p w14:paraId="02FD262B">
      <w:pPr>
        <w:keepNext w:val="0"/>
        <w:keepLines w:val="0"/>
        <w:pageBreakBefore w:val="0"/>
        <w:widowControl w:val="0"/>
        <w:kinsoku/>
        <w:wordWrap/>
        <w:overflowPunct/>
        <w:topLinePunct w:val="0"/>
        <w:autoSpaceDE w:val="0"/>
        <w:autoSpaceDN w:val="0"/>
        <w:bidi w:val="0"/>
        <w:adjustRightInd w:val="0"/>
        <w:spacing w:line="360" w:lineRule="auto"/>
        <w:ind w:firstLine="643" w:firstLineChars="200"/>
        <w:textAlignment w:val="auto"/>
        <w:rPr>
          <w:rFonts w:hint="eastAsia" w:ascii="仿宋" w:hAnsi="仿宋" w:eastAsia="仿宋" w:cs="仿宋"/>
          <w:spacing w:val="0"/>
          <w:kern w:val="0"/>
          <w:sz w:val="32"/>
          <w:szCs w:val="32"/>
          <w:lang w:val="en-US" w:eastAsia="zh-CN" w:bidi="ar-SA"/>
        </w:rPr>
      </w:pPr>
      <w:r>
        <w:rPr>
          <w:rFonts w:hint="eastAsia" w:ascii="仿宋" w:hAnsi="仿宋" w:eastAsia="仿宋" w:cs="仿宋"/>
          <w:b/>
          <w:bCs/>
          <w:spacing w:val="0"/>
          <w:sz w:val="32"/>
          <w:szCs w:val="32"/>
          <w:lang w:val="en-US" w:eastAsia="zh-CN"/>
        </w:rPr>
        <w:t>7.</w:t>
      </w:r>
      <w:r>
        <w:rPr>
          <w:rFonts w:hint="eastAsia" w:ascii="仿宋" w:hAnsi="仿宋" w:eastAsia="仿宋" w:cs="仿宋"/>
          <w:b/>
          <w:bCs/>
          <w:spacing w:val="0"/>
          <w:sz w:val="32"/>
          <w:szCs w:val="32"/>
        </w:rPr>
        <w:t>氯氰菊酯和高效氯氰菊酯</w:t>
      </w:r>
      <w:r>
        <w:rPr>
          <w:rFonts w:hint="eastAsia" w:ascii="仿宋" w:hAnsi="仿宋" w:eastAsia="仿宋" w:cs="仿宋"/>
          <w:b/>
          <w:bCs/>
          <w:spacing w:val="0"/>
          <w:sz w:val="32"/>
          <w:szCs w:val="32"/>
          <w:lang w:eastAsia="zh-CN"/>
        </w:rPr>
        <w:t>：</w:t>
      </w:r>
      <w:r>
        <w:rPr>
          <w:rFonts w:eastAsia="仿宋"/>
          <w:spacing w:val="0"/>
          <w:sz w:val="32"/>
          <w:szCs w:val="32"/>
        </w:rPr>
        <w:t>氯氰菊酯和高效氯氰菊酯属广谱的拟除虫菊酯类杀虫剂，具备触杀和胃毒作用。适用于防治棉花、蔬菜、果树、茶树、森林等多种植物上的害虫及卫生害虫。对鱼类毒性高，对鸟类毒性低，对蜜蜂、蚕剧毒</w:t>
      </w:r>
      <w:r>
        <w:rPr>
          <w:rFonts w:hint="eastAsia" w:ascii="仿宋" w:hAnsi="仿宋" w:eastAsia="仿宋" w:cs="仿宋"/>
          <w:spacing w:val="0"/>
          <w:kern w:val="0"/>
          <w:sz w:val="32"/>
          <w:szCs w:val="32"/>
          <w:lang w:val="en-US" w:eastAsia="zh-CN" w:bidi="ar-SA"/>
        </w:rPr>
        <w:t>。</w:t>
      </w:r>
    </w:p>
    <w:p w14:paraId="2B277F83">
      <w:pPr>
        <w:keepNext w:val="0"/>
        <w:keepLines w:val="0"/>
        <w:pageBreakBefore w:val="0"/>
        <w:widowControl w:val="0"/>
        <w:kinsoku/>
        <w:wordWrap/>
        <w:overflowPunct/>
        <w:topLinePunct w:val="0"/>
        <w:autoSpaceDE w:val="0"/>
        <w:autoSpaceDN w:val="0"/>
        <w:bidi w:val="0"/>
        <w:adjustRightInd w:val="0"/>
        <w:spacing w:line="360" w:lineRule="auto"/>
        <w:ind w:firstLine="643" w:firstLineChars="200"/>
        <w:textAlignment w:val="auto"/>
        <w:rPr>
          <w:rFonts w:hint="eastAsia" w:ascii="仿宋" w:hAnsi="仿宋" w:eastAsia="仿宋" w:cs="仿宋"/>
          <w:spacing w:val="0"/>
          <w:kern w:val="0"/>
          <w:sz w:val="32"/>
          <w:szCs w:val="32"/>
          <w:lang w:val="en-US" w:eastAsia="zh-CN" w:bidi="ar-SA"/>
        </w:rPr>
      </w:pPr>
      <w:r>
        <w:rPr>
          <w:rFonts w:hint="eastAsia" w:ascii="仿宋" w:hAnsi="仿宋" w:eastAsia="仿宋" w:cs="仿宋"/>
          <w:b/>
          <w:bCs/>
          <w:spacing w:val="0"/>
          <w:sz w:val="32"/>
          <w:szCs w:val="32"/>
          <w:lang w:val="en-US" w:eastAsia="zh-CN"/>
        </w:rPr>
        <w:t>8.</w:t>
      </w:r>
      <w:r>
        <w:rPr>
          <w:rFonts w:hint="eastAsia" w:ascii="仿宋" w:hAnsi="仿宋" w:eastAsia="仿宋" w:cs="仿宋"/>
          <w:b/>
          <w:bCs/>
          <w:spacing w:val="0"/>
          <w:sz w:val="32"/>
          <w:szCs w:val="32"/>
        </w:rPr>
        <w:t>吡虫啉</w:t>
      </w:r>
      <w:r>
        <w:rPr>
          <w:rFonts w:hint="eastAsia" w:ascii="仿宋" w:hAnsi="仿宋" w:eastAsia="仿宋" w:cs="仿宋"/>
          <w:b/>
          <w:bCs/>
          <w:spacing w:val="0"/>
          <w:sz w:val="32"/>
          <w:szCs w:val="32"/>
          <w:lang w:eastAsia="zh-CN"/>
        </w:rPr>
        <w:t>：</w:t>
      </w:r>
      <w:r>
        <w:rPr>
          <w:rFonts w:hint="eastAsia" w:eastAsia="仿宋"/>
          <w:spacing w:val="0"/>
          <w:sz w:val="32"/>
          <w:szCs w:val="32"/>
        </w:rPr>
        <w:t>吡虫啉是烟碱类超高效杀虫剂，具有广谱、高效、低毒、低残留，害虫不易产生抗性，并有触杀、胃毒和内吸等多重作用。害虫接触药剂后，中枢神经正常传导受阻，使其麻痹死亡。产品速效性好，药后1天即有较高的防效，残留期长达25天左右。药效和温度呈正相关，温度高，杀虫效果好。主要用于防治刺吸式口器害虫。《食品安全国家标准 食品中农药最大残留限量》（GB 2763—2021）中规定，</w:t>
      </w:r>
      <w:r>
        <w:rPr>
          <w:rFonts w:hint="eastAsia" w:eastAsia="仿宋"/>
          <w:spacing w:val="0"/>
          <w:sz w:val="32"/>
          <w:szCs w:val="32"/>
          <w:lang w:val="en-US" w:eastAsia="zh-CN"/>
        </w:rPr>
        <w:t>生姜</w:t>
      </w:r>
      <w:r>
        <w:rPr>
          <w:rFonts w:hint="eastAsia" w:eastAsia="仿宋"/>
          <w:spacing w:val="0"/>
          <w:sz w:val="32"/>
          <w:szCs w:val="32"/>
        </w:rPr>
        <w:t>中的最大残留限量为</w:t>
      </w:r>
      <w:r>
        <w:rPr>
          <w:rFonts w:hint="eastAsia" w:eastAsia="仿宋"/>
          <w:spacing w:val="0"/>
          <w:sz w:val="32"/>
          <w:szCs w:val="32"/>
          <w:lang w:val="en-US" w:eastAsia="zh-CN"/>
        </w:rPr>
        <w:t>0.</w:t>
      </w:r>
      <w:r>
        <w:rPr>
          <w:rFonts w:hint="eastAsia" w:eastAsia="仿宋"/>
          <w:spacing w:val="0"/>
          <w:sz w:val="32"/>
          <w:szCs w:val="32"/>
        </w:rPr>
        <w:t>5mg／kg。不慎食用和长期过量食用吡虫啉超标的食物对人体有害。香蕉中吡虫啉超标的原因可能是由于种植户未严格按照农业使用安全间隔期进行采摘所致</w:t>
      </w:r>
      <w:r>
        <w:rPr>
          <w:rFonts w:hint="eastAsia" w:ascii="仿宋" w:hAnsi="仿宋" w:eastAsia="仿宋" w:cs="仿宋"/>
          <w:spacing w:val="0"/>
          <w:kern w:val="0"/>
          <w:sz w:val="32"/>
          <w:szCs w:val="32"/>
          <w:lang w:val="en-US" w:eastAsia="zh-CN" w:bidi="ar-SA"/>
        </w:rPr>
        <w:t>。</w:t>
      </w:r>
    </w:p>
    <w:p w14:paraId="5396ABB1">
      <w:pPr>
        <w:keepNext w:val="0"/>
        <w:keepLines w:val="0"/>
        <w:pageBreakBefore w:val="0"/>
        <w:widowControl w:val="0"/>
        <w:kinsoku/>
        <w:wordWrap/>
        <w:overflowPunct/>
        <w:topLinePunct w:val="0"/>
        <w:autoSpaceDE w:val="0"/>
        <w:autoSpaceDN w:val="0"/>
        <w:bidi w:val="0"/>
        <w:adjustRightInd w:val="0"/>
        <w:spacing w:line="360" w:lineRule="auto"/>
        <w:ind w:firstLine="643" w:firstLineChars="200"/>
        <w:textAlignment w:val="auto"/>
        <w:rPr>
          <w:spacing w:val="0"/>
          <w:sz w:val="32"/>
          <w:szCs w:val="32"/>
        </w:rPr>
      </w:pPr>
      <w:r>
        <w:rPr>
          <w:rFonts w:hint="eastAsia" w:ascii="仿宋" w:hAnsi="仿宋" w:eastAsia="仿宋" w:cs="仿宋"/>
          <w:b/>
          <w:bCs/>
          <w:spacing w:val="0"/>
          <w:sz w:val="32"/>
          <w:szCs w:val="32"/>
          <w:lang w:val="en-US" w:eastAsia="zh-CN"/>
        </w:rPr>
        <w:t>9.</w:t>
      </w:r>
      <w:r>
        <w:rPr>
          <w:rFonts w:hint="eastAsia" w:ascii="仿宋" w:hAnsi="仿宋" w:eastAsia="仿宋" w:cs="仿宋"/>
          <w:b/>
          <w:bCs/>
          <w:spacing w:val="0"/>
          <w:sz w:val="32"/>
          <w:szCs w:val="32"/>
        </w:rPr>
        <w:t>黄曲霉毒素B₁</w:t>
      </w:r>
      <w:r>
        <w:rPr>
          <w:rFonts w:hint="eastAsia" w:ascii="仿宋" w:hAnsi="仿宋" w:eastAsia="仿宋" w:cs="仿宋"/>
          <w:b/>
          <w:bCs/>
          <w:spacing w:val="0"/>
          <w:sz w:val="32"/>
          <w:szCs w:val="32"/>
          <w:lang w:eastAsia="zh-CN"/>
        </w:rPr>
        <w:t>：</w:t>
      </w:r>
      <w:r>
        <w:rPr>
          <w:rFonts w:eastAsia="仿宋"/>
          <w:spacing w:val="0"/>
          <w:sz w:val="32"/>
          <w:szCs w:val="32"/>
        </w:rPr>
        <w:t>黄曲霉毒素B</w:t>
      </w:r>
      <w:r>
        <w:rPr>
          <w:rFonts w:eastAsia="仿宋"/>
          <w:spacing w:val="0"/>
          <w:sz w:val="32"/>
          <w:szCs w:val="32"/>
          <w:vertAlign w:val="subscript"/>
        </w:rPr>
        <w:t>1</w:t>
      </w:r>
      <w:r>
        <w:rPr>
          <w:rFonts w:eastAsia="仿宋"/>
          <w:spacing w:val="0"/>
          <w:sz w:val="32"/>
          <w:szCs w:val="32"/>
        </w:rPr>
        <w:t>是一种强致癌性的真菌毒素。长期食用黄曲霉毒素B</w:t>
      </w:r>
      <w:r>
        <w:rPr>
          <w:rFonts w:eastAsia="仿宋"/>
          <w:spacing w:val="0"/>
          <w:sz w:val="32"/>
          <w:szCs w:val="32"/>
          <w:vertAlign w:val="subscript"/>
        </w:rPr>
        <w:t>1</w:t>
      </w:r>
      <w:r>
        <w:rPr>
          <w:rFonts w:eastAsia="仿宋"/>
          <w:spacing w:val="0"/>
          <w:sz w:val="32"/>
          <w:szCs w:val="32"/>
        </w:rPr>
        <w:t>超标的食品，可能会对肝脏造成损害。《食品安全国家标准 食品中真菌毒素限量》（GB 2761—2017）中规定，黄曲霉毒素B</w:t>
      </w:r>
      <w:r>
        <w:rPr>
          <w:rFonts w:eastAsia="仿宋"/>
          <w:spacing w:val="0"/>
          <w:sz w:val="32"/>
          <w:szCs w:val="32"/>
          <w:vertAlign w:val="subscript"/>
        </w:rPr>
        <w:t>1</w:t>
      </w:r>
      <w:r>
        <w:rPr>
          <w:rFonts w:eastAsia="仿宋"/>
          <w:spacing w:val="0"/>
          <w:sz w:val="32"/>
          <w:szCs w:val="32"/>
        </w:rPr>
        <w:t>在花生及其制品中的最大限量值为20μg/kg。油炸花生米中黄曲霉毒素B</w:t>
      </w:r>
      <w:r>
        <w:rPr>
          <w:rFonts w:eastAsia="仿宋"/>
          <w:spacing w:val="0"/>
          <w:sz w:val="32"/>
          <w:szCs w:val="32"/>
          <w:vertAlign w:val="subscript"/>
        </w:rPr>
        <w:t>1</w:t>
      </w:r>
      <w:r>
        <w:rPr>
          <w:rFonts w:eastAsia="仿宋"/>
          <w:spacing w:val="0"/>
          <w:sz w:val="32"/>
          <w:szCs w:val="32"/>
        </w:rPr>
        <w:t>检测值超标的原因，可能是生产企业使用的原料受到黄曲霉等霉菌的污染，也可能是生产加工过程中卫生条件控制不严，还可能与产品包装密封不严、储运条件控制不当等有关。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CBF52"/>
    <w:multiLevelType w:val="singleLevel"/>
    <w:tmpl w:val="D50CBF5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OWQwMWQyZjZlMDc5ZTQwMzBlNmQ2ZmQ4MmVlNTAifQ=="/>
  </w:docVars>
  <w:rsids>
    <w:rsidRoot w:val="00000000"/>
    <w:rsid w:val="08500500"/>
    <w:rsid w:val="192442DB"/>
    <w:rsid w:val="48E324BF"/>
    <w:rsid w:val="4C422631"/>
    <w:rsid w:val="6DD93173"/>
    <w:rsid w:val="79AD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2179</Words>
  <Characters>2279</Characters>
  <Lines>0</Lines>
  <Paragraphs>0</Paragraphs>
  <TotalTime>18</TotalTime>
  <ScaleCrop>false</ScaleCrop>
  <LinksUpToDate>false</LinksUpToDate>
  <CharactersWithSpaces>2290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2024-05-24T01:02:00Z</dcterms:created>
  <dc:creator>Admin-km</dc:creator>
  <cp:lastModifiedBy>2222</cp:lastModifiedBy>
  <dcterms:modified xsi:type="dcterms:W3CDTF">2024-07-31T06:31:59Z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2AA6B07814C64333B72B63D9CBD343AC_13</vt:lpwstr>
  </property>
</Properties>
</file>