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32"/>
          <w:szCs w:val="32"/>
          <w:lang w:val="en-US" w:eastAsia="zh-CN"/>
        </w:rPr>
        <w:t>晋城市城区市场监督管理局202</w:t>
      </w:r>
      <w:r>
        <w:rPr>
          <w:rFonts w:hint="default" w:ascii="方正小标宋简体" w:hAnsi="方正小标宋简体" w:eastAsia="方正小标宋简体" w:cs="方正小标宋简体"/>
          <w:snapToGrid w:val="0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32"/>
          <w:szCs w:val="32"/>
          <w:lang w:val="en-US" w:eastAsia="zh-CN"/>
        </w:rPr>
        <w:t>年内部双随机抽查工作计划（调整版）</w:t>
      </w:r>
    </w:p>
    <w:tbl>
      <w:tblPr>
        <w:tblStyle w:val="3"/>
        <w:tblW w:w="14130" w:type="dxa"/>
        <w:tblInd w:w="-3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485"/>
        <w:gridCol w:w="900"/>
        <w:gridCol w:w="3645"/>
        <w:gridCol w:w="1275"/>
        <w:gridCol w:w="945"/>
        <w:gridCol w:w="1380"/>
        <w:gridCol w:w="1110"/>
        <w:gridCol w:w="1425"/>
        <w:gridCol w:w="1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抽查任务名称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3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抽查对象范围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信用风险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抽查检查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发起主体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检查主体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比例/数量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分类管理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/指导单位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对广告经营者建立、健全广告业务的承接登记、审核、档案管理制度情况的双随机抽查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定向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行为检查：（1）广告经营企业的主体资格等证明文件是否真实有效；（2）广告业务的承接登记、审核、档案管理制度建立健全情况；（3）根据广告发布情况抽查查验广告档案资料；（4）抽查核对近期发布广告内容的真实性、合法性；（5）广告业务审核手续是否齐备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全区范围内广告经营单位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5%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根据企业信用风险分类结果，对低风险、一般风险、较高风险、高风险企业分别递加比例抽查和频次。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7月—9月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区市场监管局组织发起/广告股指导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对集贸市场的计量双随机抽查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定向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1、贸易结算使用的衡器是否定期检定合格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全区集贸市场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4月—5月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区市场监管局组织发起/计量标准股指导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2、集贸市场是否设置公平秤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3、是否有“缺斤短两”的行为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商业银行收费双随机抽查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定向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1.执行政府定价、政府指导价情况，明码标价情况及其他价格行为的检查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本辖区银行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根据企业信用风险分类结果，对低风险、一般风险、较高风险、高风险企业分别递加比例抽查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9月-10月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区市场监管局组织发起/反垄断股指导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对旅游景区价格的双随机抽查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定向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1.执行政府定价、政府指导价情况，明码标价情况及其他价格行为的检查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本辖区3A级及以下景区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根据企业信用风险分类结果，对低风险、一般风险、较高风险、高风险企业分别递加比例抽查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7月-9月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区市场监管局组织发起/反垄断股指导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对药品价格的双随机抽查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定向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1.执行政府定价、政府指导价情况，明码标价情况及其他价格行为的检查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本辖区药品经营单位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15%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根据企业信用风险分类结果，对低风险、一般风险、较高风险、高风险企业分别递加比例抽查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7月-9月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区市场监管局组织发起/反垄断股指导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对加油站计量双随机抽查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定向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在用加油机的计量检定证书是否在有效期内，各部位铅封是否完好；加油机是否有作弊、偷换计量装置主板和计量芯片等计量违法行为；加油站是否向社会公开做出诚信计量承诺；是否及时受理处理消费者投诉情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本辖区加油（气）站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4月-5月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区市场监管局组织发起/计量标准股指导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对眼镜制配场所计量双随机抽查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定向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是否建立计量管理制度；是否按要求配有相应的计量器具；属于强制检定的计量器具是否按照规定登记造册并经计量检定合格；是否存在使用未经检定、超过检定周期的情况。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本辖区眼镜制配场所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30%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根据企业信用风险分类结果，对低风险、一般风险、较高风险、高风险企业分别递加比例抽查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8月-10月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区市场监管局组织发起/计量标准股指导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对团体标准、企业标准自我声明公开监督检查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定向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企业是否公开其执行的国家标准、行业标准、地方标准、团体标准和企业标准。是否公开现行有效标准。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本辖区生产销售企业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20%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根据企业信用风险分类结果，对低风险、一般风险、较高风险、高风险企业分别递加比例抽查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7月-9月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区市场监管局组织发起/计量标准股指导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9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对法定计量单位使用情况的监督检查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定向</w:t>
            </w:r>
          </w:p>
        </w:tc>
        <w:tc>
          <w:tcPr>
            <w:tcW w:w="3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法定计量单位使用情况专项监督检查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本辖区宣传出版、文化教育、市场交易等领域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30%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根据企业信用风险分类结果，对低风险、一般风险、较高风险、高风险企业分别递加比例抽查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8月-10月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区市场监管局组织发起/计量标准股指导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法定计量检定机构专项监督检查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定向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法定计量检定机构专项监督检查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法定计量检定机构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50%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根据企业信用风险分类结果，对低风险、一般风险、较高风险、高风险企业分别递加比例抽查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7月—8月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区市场监管局组织发起/计量标准股指导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检验检测机构双随机抽查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定向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检验检测机构资质情况及检验检测行为合规性检查。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本辖区获证检验检测机构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根据企业信用风险分类结果，对低风险、一般风险、较高风险、高风险企业分别递加比例抽查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9月-11月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区市场监管局组织发起/认证股指导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对神利便利连锁便利超市的双随机抽查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定向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1、经营资质2、经营条件3、食品标签等外观质量状况4、食品安全管理机构和人员5、从业人员管理6、经营过程控制情况7、特殊食品等事项的检查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本辖区内神利便利连锁便利店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20%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根据企业信用风险分类结果，对低风险、一般风险、较高风险、高风险企业分别递加比例抽查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7月-9月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区市场监管局组织发起/食品生产流通股指导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对特种设备使用单位的双随机抽查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定向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特种设备使用单位的检查：是否按要求做到“三落实、两有证、一检验、一预案”。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本辖区特种设备使用单位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根据企业信用风险分类结果，对低风险、一般风险、较高风险、高风险企业分别递加比例抽查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8月-11月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区市场监管局组织发起/特设股指导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为非法交易野生动物等违法行为提供交易服务单位的抽查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定向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为非法交易野生动物等违法行为提供交易服务的违法行为检查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本辖区内农贸市场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7月-11月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区市场监管局组织发起/消保市场股指导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对个体户市场监管事项内部联合抽查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定向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经营（驻在）期限的检查2.经营（业务）范围中无需审批的经营（业务）项目的检查3.住所（经营场所）或驻在场所的检查4.年度报告公示信息的检查5.即时公示信息的检查6.营业执照（登记证）规范使用情况的检查7.名称规范使用情况的检查8.广告经营者、广告发布者建立、健全广告业务的承接登记、审核、档案管理制度情况的检查9.商标使用行为的检查10.专利真实性监督检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本辖区个体工商户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1%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根据企业信用风险分类结果，对低风险、一般风险、较高风险、高风险企业分别递加比例抽查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4月-10月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区市场监管局组织发起/信用股指导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对农民专业合作社市场监管事项内部联合抽查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定向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经营（驻在）期限的检查2.经营（业务）范围中无需审批的经营（业务）项目的检查3.住所（经营场所）或驻在场所的检查4.年度报告公示信息的检查5.即时公示信息的检查6.营业执照（登记证）规范使用情况的检查7.名称规范使用情况的检查8.广告经营者、广告发布者建立、健全广告业务的承接登记、审核、档案管理制度情况的检查9.商标使用行为的检查10.专利真实性监督检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本辖区农民专业合作社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5%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根据企业信用风险分类结果，对低风险、一般风险、较高风险、高风险企业分别递加比例抽查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4月-10月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区市场监管局组织发起/信用股指导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对B类企业的双随机抽查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定向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经营（驻在）期限的检查2.经营（业务）范围中无需审批的经营（业务）项目的检查3.住所（经营场所）或驻在场所的检查4.年度报告公示信息的检查5.即时公示信息的检查6.营业执照（登记证）规范使用情况的检查7.名称规范使用情况的检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本辖区B类企业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1%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根据企业信用风险分类结果，对低风险、一般风险、较高风险、高风险企业分别递加比例抽查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8月-11月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区市场监管局组织发起/信用股指导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对C类企业的双随机抽查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定向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经营（驻在）期限的检查2.经营（业务）范围中无需审批的经营（业务）项目的检查3.住所（经营场所）或驻在场所的检查4.年度报告公示信息的检查5.即时公示信息的检查6.营业执照（登记证）规范使用情况的检查7.名称规范使用情况的检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本辖区C类企业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5%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根据企业信用风险分类结果，对低风险、一般风险、较高风险、高风险企业分别递加比例抽查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8月-11月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区市场监管局组织发起/信用股指导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对D类企业的双随机抽查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定向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经营（驻在）期限的检查2.经营（业务）范围中无需审批的经营（业务）项目的检查3.住所（经营场所）或驻在场所的检查4.年度报告公示信息的检查5.即时公示信息的检查6.营业执照（登记证）规范使用情况的检查7.名称规范使用情况的检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本辖区D类企业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5%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根据企业信用风险分类结果，对低风险、一般风险、较高风险、高风险企业分别递加比例抽查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6月-11月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区市场监管局组织发起/信用股指导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对部分燃气器具及配件经销单位的飞行监督抽查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定向</w:t>
            </w:r>
          </w:p>
        </w:tc>
        <w:tc>
          <w:tcPr>
            <w:tcW w:w="3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燃气器具及配件销售单位的监督检查：1.销售单位有无资质；2.有无标注厂名、厂址、执行标准等信息；3.家用、商用燃气灶具有无熄火保护装置；4.家用燃气灶具有无3C认证标识及证书；5.家用、商用调压阀出口压力是否为不可调节。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全区燃气器具及配件经销单位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30%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根据企业信用风险分类结果，对低风险、一般风险、较高风险、高风险企业分别递加比例抽查和频次。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8月—11月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区市场监管局组织发起/质量股指导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【市抽市查】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【县抽县查】</w:t>
            </w:r>
            <w:r>
              <w:rPr>
                <w:rStyle w:val="5"/>
                <w:rFonts w:hAnsi="宋体"/>
                <w:lang w:val="en-US" w:eastAsia="zh-CN" w:bidi="ar"/>
              </w:rPr>
              <w:t>市县两局分别组织实施抽查（此计划不包括各县抽查计划，各县自行根据监管需求制定抽查计划并组织实施）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“一址多照”双随机抽查（企业）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定向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经营（驻在）期限的检查2.经营（业务）范围中无需审批的经营（业务）项目的检查3.住所（经营场所）或驻在场所的检查4.年度报告公示信息的检查5.即时公示信息的检查6.营业执照（登记证）规范使用情况的检查7.名称规范使用情况的检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全区“一址多照”企业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根据企业信用风险分类结果，对低风险、一般风险、较高风险、高风险企业分别递加比例抽查和频次。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5月-7月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区市场监管局组织发起/信用股指导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“一人多企”双随机抽查（企业）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定向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经营（驻在）期限的检查2.经营（业务）范围中无需审批的经营（业务）项目的检查3.住所（经营场所）或驻在场所的检查4.年度报告公示信息的检查5.即时公示信息的检查6.营业执照（登记证）规范使用情况的检查7.名称规范使用情况的检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全区“一人多企”企业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5%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根据企业信用风险分类结果，对低风险、一般风险、较高风险、高风险企业分别递加比例抽查和频次。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5月-7月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区市场监管局组织发起/信用股指导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“一人多企”双随机抽查（个体户）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定向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经营（驻在）期限的检查2.经营（业务）范围中无需审批的经营（业务）项目的检查3.住所（经营场所）或驻在场所的检查4.年度报告公示信息的检查5.即时公示信息的检查6.营业执照（登记证）规范使用情况的检查7.名称规范使用情况的检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全区“一人多企”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个体户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5%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根据企业信用风险分类结果，对低风险、一般风险、较高风险、高风险企业分别递加比例抽查和频次。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5月-7月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区市场监管局组织发起/信用股指导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对电子商务平台内经营者（网店）的双随机抽查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定向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电子商务平台经营者履行主体责任的检查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电子商务平台经营者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3%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根据企业信用风险分类结果，对低风险、一般风险、较高风险、高风险企业分别递加比例抽查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7月-9月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区市场监管局组织发起/执法稽查股指导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对行业协会商会收费行为的双随机抽查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定向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1.执行政府定价、政府指导价情况，明码标价情况及其他价格行为的检查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本辖区行业协会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50%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根据企业信用风险分类结果，对低风险、一般风险、较高风险、高风险企业分别递加比例抽查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8月-9月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区市场监管局组织发起/反垄断股指导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对行政事业单位收费行为的双随机抽查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定向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1.执行政府定价、政府指导价情况，明码标价情况及其他价格行为的检查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本辖区行政事业单位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30%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根据企业信用风险分类结果，对低风险、一般风险、较高风险、高风险企业分别递加比例抽查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8月-9月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区市场监管局组织发起/反垄断股指导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区市场监管局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lang w:val="en-US" w:eastAsia="zh-CN"/>
        </w:rPr>
        <w:sectPr>
          <w:footerReference r:id="rId3" w:type="default"/>
          <w:pgSz w:w="16838" w:h="11906" w:orient="landscape"/>
          <w:pgMar w:top="1531" w:right="2098" w:bottom="1531" w:left="1984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page" w:horzAnchor="page" w:tblpX="1532" w:tblpY="14242"/>
        <w:tblOverlap w:val="never"/>
        <w:tblW w:w="8861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280" w:firstLineChars="100"/>
              <w:textAlignment w:val="auto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</w:rPr>
              <w:t>晋城市城区市场监督管理局办公室           202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</w:rPr>
              <w:t xml:space="preserve">日印发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 </w:t>
            </w:r>
          </w:p>
        </w:tc>
      </w:tr>
    </w:tbl>
    <w:p>
      <w:pPr>
        <w:bidi w:val="0"/>
        <w:ind w:firstLine="372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372" w:firstLineChars="0"/>
        <w:jc w:val="left"/>
        <w:rPr>
          <w:rFonts w:hint="eastAsia"/>
          <w:lang w:val="en-US" w:eastAsia="zh-CN"/>
        </w:rPr>
      </w:pPr>
    </w:p>
    <w:p/>
    <w:sectPr>
      <w:pgSz w:w="11906" w:h="16838"/>
      <w:pgMar w:top="2098" w:right="1531" w:bottom="198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wHWr6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F3A85"/>
    <w:rsid w:val="25FF3A85"/>
    <w:rsid w:val="6CBFF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41"/>
    <w:basedOn w:val="4"/>
    <w:qFormat/>
    <w:uiPriority w:val="0"/>
    <w:rPr>
      <w:rFonts w:hint="eastAsia" w:ascii="仿宋_GB2312" w:eastAsia="仿宋_GB2312" w:cs="仿宋_GB2312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2025-12-08T17:31:00Z</dcterms:created>
  <dc:creator>greatwall</dc:creator>
  <cp:lastModifiedBy>greatwall</cp:lastModifiedBy>
  <dcterms:modified xsi:type="dcterms:W3CDTF">2025-12-17T17:48:00Z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23C17C9B68611300652A3669F55260C1</vt:lpwstr>
  </property>
</Properties>
</file>