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晋城市城区市场监管领域202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年度部门联合双随机抽查工作计划（调整版）</w:t>
      </w:r>
    </w:p>
    <w:tbl>
      <w:tblPr>
        <w:tblStyle w:val="4"/>
        <w:tblpPr w:leftFromText="180" w:rightFromText="180" w:vertAnchor="text" w:horzAnchor="page" w:tblpX="1453" w:tblpY="168"/>
        <w:tblOverlap w:val="never"/>
        <w:tblW w:w="14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79"/>
        <w:gridCol w:w="3131"/>
        <w:gridCol w:w="1064"/>
        <w:gridCol w:w="1417"/>
        <w:gridCol w:w="2100"/>
        <w:gridCol w:w="1170"/>
        <w:gridCol w:w="1215"/>
        <w:gridCol w:w="94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抽查比例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及频次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智慧监管（信用风险分类）要求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对中小学学校办学情况双随机抽查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1.中小学教育装备产品（含信息技术装备、校服等）检查2.招生、办学情况的检查3.执行政府定价、政府指导价情况，明码标价情况及其他价格行为的检查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全区中小学、普通初中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不低于10%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城区教科局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对民办学校招生、办学情况的检查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1.民办教育促进法、民办教育促进法实施条例、山西省民办教育促进法实施办法2.执行政府定价、政府指导价情况，明码标价情况及其他价格行为的检查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全区营利性民办幼儿园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不低于10%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3月—10月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城区教科局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对定点医疗机构的随机抽查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1.医疗机构综合管理的检查2.执行政府定价、政府指导价情况，明码标价情况及其他价格行为的检查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城区范围内的社区卫生服务中心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5月—10月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城区卫体局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对汽车销售企业的部门联合抽查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1.对从事汽车销售及其相关服务活动的检查 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全区汽车销售企业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不低于20%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城区商务局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对单用途商业预付卡的部门联合抽查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单用途卡备案情况的检查；2.章程或协议公示情况以及退卡服务情况的检查3.实名制、限额制、非现金制、资金存管制度的执行情况检查4.填报单用途卡业务情况的检查5.规模发卡企业登录商务部“单用途商业预付卡业务信息系统”填报情况的检查。6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40%；1次/年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城区商务局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对二手车交易市场的部门联合抽查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1.对二手车交易市场和二手车经营主体的检查2.市场主体登记事项和公示信息检查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全区二手车销售企业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 ；1次/年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城区商务局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对建筑市场的双随机抽查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1.对建筑用工实名制、工程款支付情况检查2.用人单位遵守劳动保障法律法规的检查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全区建设工程项目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城区住建局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城区人社局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对劳务派遣机构的双随机抽查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1.对劳务派遣用工检查2.市场主体登记事项和公示信息检查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全区劳务派遣机构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不低于10%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城区人社局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对人防工程维护管理监督检查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1.对人防工程维护管理监督检查2单位履行法定消防安全职责情况的监督抽查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全区人防工程使用单位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不低于10%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城区人防办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城区消防救援支队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对全区在库企业及项目单位依法提供统计资料情况等的双随机抽查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1.对调查对象依法提供统计资料情况的检查、对调查对象依法设置原始记录和统计台账情况的检查、对调查对象依法建立并执行统计资料管理制度情况的检查2.市场主体登记事项和公示信息检查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全区在库企业及项目单位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不低于5%；1次/年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城区统计局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涉烟经营活动检查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1.对烟草专卖零售许可证使用情况2.市场主体登记事项和公示信息检查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全区经营卷烟零售业务的企业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5%；1次/年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城区烟草局       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物流寄递企业运输烟草制品情况联合抽查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1.对非法运输烟草专卖品违法行业的检查2.市场主体登记事项和公示信息检查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全区物流寄递企业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10%；1次/年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城区烟草局       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校园消防安全监督检查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1.对单位履行法定消防安全职责情况的监督检查2.对学校管理的检查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全区机关、团体、企业、事业等单位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城区消防救援大队 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城区教科局                     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公共娱乐场所等场所消防安全监督检查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1.对单位履行法定消防安全职责情况的监督检查2.公共娱乐场所的相关检查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全区公共娱乐场所、文博场所等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10%；1次/年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城区消防救援大队  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城区文旅局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住宅小区消防安全监督检查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1.对单位履行法定消防安全职责情况的监督检查 2.住宅小区的相关检查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全区住宅小区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10%；1次/年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城区消防救援大队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城区住建局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营业性演出经营活动的检查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1.对营业性演出经营活动从业单位取得许可证的检查2.市场主体登记事项和公示信息检查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全区营业性演出单位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城区文旅局       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1.对学校食品卫生安全管理督查2.人员管理情况的检查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全区学校食堂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城区市场监管局   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城区教科局                          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对保安公司的监督抽查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对保安服务公司基本情况、经营情况、制度落实，保安员培训、管理等情况的检查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全市保安公司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20%；2次/年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城区公安局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对机动车排放检验机构的双随机抽查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机动车排放检验情况和设备使用情况的检查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全市机动车排放检验机构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20%，1次/年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城区生态局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滑雪等高危险性体育项目经营单位的监督检查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是否取得高危经营许可证、安全生产、设施设备、救生员和教练员的配备、规章制度、应急预案、水质、经营情况等的检查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滑雪经营单位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12月至次年2月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城区卫体局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市医疗保障经办机构检查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执行全省统一的医疗保障经办政务服务事项清单和办事指南，并根据实际情况调整和更新检查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晋城市医疗保险事务中心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100%，1次/年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城区医保局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城区审批局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旅游景区双随机联合抽查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1、景区是否存在违规行为；2、登记事项和公示信息检查。3、执行政府定价、政府指导价情况，明码标价情况及其他价格行为的检查。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全区景区经营单位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不低于30%；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机动车驾驶员培训机构双随机联合抽查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1、对机动车驾驶员培训机构经营行为的行政检查；2、登记事项和公示信息检查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全区依法取得机动车驾驶员培训机构资格的企业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城区交通局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机动车维修企业双随机联合抽查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1、对机动车维修企业经营行为的行政检查；2、登记事项和公示信息检查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全区依法取得机动车维修资格备案的企业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城区交通局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危险货物道路运输企业双随机联合抽查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1.对从事危险货物道路运输企业经营行为的行政检查 2.对从事危险货物道路运输的人员从业行为的行政检查3、登记事项和公示信息检查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全区依法取得道路危险货物运输经营资格的企业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%；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城区交通局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道路运输车辆达标管理机构双随机联合抽查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1、对道路运输车辆达标管理机构的行政检查2、检验检测机构检查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全区内依法取得道路运输车辆达标管理的机构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城区交通局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企业年度报告抽查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市场主体登记事项和公示信息检查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全区注册资本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根据企业信用风险分类结果，结合行业监管风险分类，对低风险、一般风险、较高风险、高风险企业分别递加抽查比例、频次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3月-10月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县抽县查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LYQ7uHS&#10;AQAAow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2I1NDk2NzcyZWNjOTBmMjFiYmU5NzJjMTdhYzAifQ=="/>
  </w:docVars>
  <w:rsids>
    <w:rsidRoot w:val="0018776A"/>
    <w:rsid w:val="0018776A"/>
    <w:rsid w:val="001A7EAA"/>
    <w:rsid w:val="00572618"/>
    <w:rsid w:val="00B91FA3"/>
    <w:rsid w:val="00D5293E"/>
    <w:rsid w:val="02C66B28"/>
    <w:rsid w:val="09C66AA1"/>
    <w:rsid w:val="0B7C6285"/>
    <w:rsid w:val="0D397896"/>
    <w:rsid w:val="0D3C3220"/>
    <w:rsid w:val="0ECA71DB"/>
    <w:rsid w:val="13F814B3"/>
    <w:rsid w:val="16FA4E35"/>
    <w:rsid w:val="1B8F5B60"/>
    <w:rsid w:val="2152276D"/>
    <w:rsid w:val="25EEE413"/>
    <w:rsid w:val="27874B48"/>
    <w:rsid w:val="2B5D1ADE"/>
    <w:rsid w:val="2FCF5F66"/>
    <w:rsid w:val="35BF1DD4"/>
    <w:rsid w:val="39AB1E67"/>
    <w:rsid w:val="39AB7752"/>
    <w:rsid w:val="3FFB0CDB"/>
    <w:rsid w:val="406644FB"/>
    <w:rsid w:val="42DA1D9F"/>
    <w:rsid w:val="45E16705"/>
    <w:rsid w:val="4AFF93CD"/>
    <w:rsid w:val="4EAE1F59"/>
    <w:rsid w:val="51792678"/>
    <w:rsid w:val="51D17E5B"/>
    <w:rsid w:val="56BE299F"/>
    <w:rsid w:val="5D953BD5"/>
    <w:rsid w:val="6699254F"/>
    <w:rsid w:val="66A31A8D"/>
    <w:rsid w:val="71146DE7"/>
    <w:rsid w:val="71A4714F"/>
    <w:rsid w:val="74B5560B"/>
    <w:rsid w:val="750D1695"/>
    <w:rsid w:val="7DBA7990"/>
    <w:rsid w:val="7F783D14"/>
    <w:rsid w:val="7FDF822D"/>
    <w:rsid w:val="AFADAFB2"/>
    <w:rsid w:val="BEF184BC"/>
    <w:rsid w:val="D4D79705"/>
    <w:rsid w:val="DBABBEC9"/>
    <w:rsid w:val="F7DDA755"/>
    <w:rsid w:val="F7FD3B63"/>
    <w:rsid w:val="FF76B50A"/>
    <w:rsid w:val="FF7E081E"/>
    <w:rsid w:val="FFFB1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4177</Words>
  <Characters>4368</Characters>
  <Lines>13</Lines>
  <Paragraphs>3</Paragraphs>
  <TotalTime>4</TotalTime>
  <ScaleCrop>false</ScaleCrop>
  <LinksUpToDate>false</LinksUpToDate>
  <CharactersWithSpaces>4680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2020-05-24T00:20:00Z</dcterms:created>
  <dc:creator>Administrator</dc:creator>
  <cp:lastModifiedBy>greatwall</cp:lastModifiedBy>
  <cp:lastPrinted>2023-02-08T00:33:00Z</cp:lastPrinted>
  <dcterms:modified xsi:type="dcterms:W3CDTF">2024-12-16T16:10:30Z</dcterms:modified>
  <dc:title>晋城市城区市场监管领域双随机一公开监管工作领导小组办公室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5E1CF167811340069EF71803BBAFEE72_13</vt:lpwstr>
  </property>
</Properties>
</file>