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page" w:horzAnchor="page" w:tblpX="847" w:tblpY="1149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凤凰山矿中学是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隶属于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晋城市城区教育与科学技术局的公立初级中学，具有义务教育阶段六轨制标准的物理、化学、生物实验室和山西省二级图书馆，地理位置位于凤凰山矿中区，占地5248.908平方米，拥有教学楼1栋，图书实验楼1栋，职工食堂1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凤凰山矿中学始建于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1966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年，初期中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小学合办称为凤凰山矿子弟学校，校舍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极其简陋的平房。随着企业的发展和壮大，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1979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月由平房迁入现在的校址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延用原校名凤凰山矿子弟学校。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1988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年因学校办学规模扩大，中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小学分别独立建制。学校更名为凤凰矿中学校。2007年8月，划归晋城市城区管理。现有教职工4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人，其中高级教师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人，中级教师1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</w:rPr>
              <w:t>教导处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政教处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总务处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工会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spacing w:val="57"/>
                <w:kern w:val="0"/>
                <w:sz w:val="32"/>
                <w:szCs w:val="32"/>
                <w:u w:val="none"/>
                <w:lang w:val="en-US" w:eastAsia="zh-CN" w:bidi="ar"/>
              </w:rPr>
              <w:t>主动公开事项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办公时间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工作日：上午8：00－12：00，下午14：30－17：30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0356-3888001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eastAsia="zh-CN"/>
              </w:rPr>
              <w:t>晋煤集团凤凰山矿中区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0356-3888001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查询渠道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eastAsia="zh-CN"/>
              </w:rPr>
              <w:t>学校档案室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公开事项清单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ODVhODgxMzk3OWE0NzJmZDUyNTIwNGM0ZTY0OGYifQ=="/>
  </w:docVars>
  <w:rsids>
    <w:rsidRoot w:val="51F0334E"/>
    <w:rsid w:val="1BBC03B9"/>
    <w:rsid w:val="48592DC5"/>
    <w:rsid w:val="4CCC1EC1"/>
    <w:rsid w:val="51F0334E"/>
    <w:rsid w:val="600D35FA"/>
    <w:rsid w:val="67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</TotalTime>
  <ScaleCrop>false</ScaleCrop>
  <LinksUpToDate>false</LinksUpToDate>
  <CharactersWithSpaces>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2023-08-29T01:59:00Z</dcterms:created>
  <dc:creator>Administrator</dc:creator>
  <cp:lastModifiedBy>Administrator</cp:lastModifiedBy>
  <dcterms:modified xsi:type="dcterms:W3CDTF">2023-09-21T02:23:35Z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89BCF0D79E22457BA1FA45C4C382396F_13</vt:lpwstr>
  </property>
</Properties>
</file>