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600" w:lineRule="exact"/>
        <w:jc w:val="center"/>
        <w:rPr>
          <w:rFonts w:hint="eastAsia" w:ascii="方正小标宋简体" w:hAnsi="仿宋" w:eastAsia="方正小标宋简体"/>
          <w:b w:val="0"/>
          <w:color w:val="333333"/>
          <w:sz w:val="44"/>
          <w:szCs w:val="44"/>
        </w:rPr>
      </w:pPr>
    </w:p>
    <w:p>
      <w:pPr>
        <w:pStyle w:val="2"/>
        <w:spacing w:before="0" w:beforeAutospacing="0" w:after="0" w:afterAutospacing="0" w:line="600" w:lineRule="exact"/>
        <w:jc w:val="center"/>
        <w:rPr>
          <w:rFonts w:hint="eastAsia" w:ascii="方正小标宋简体" w:hAnsi="仿宋" w:eastAsia="方正小标宋简体"/>
          <w:b w:val="0"/>
          <w:color w:val="333333"/>
          <w:sz w:val="44"/>
          <w:szCs w:val="44"/>
        </w:rPr>
      </w:pPr>
      <w:bookmarkStart w:id="0" w:name="_GoBack"/>
      <w:r>
        <w:rPr>
          <w:rFonts w:hint="eastAsia" w:ascii="方正小标宋简体" w:hAnsi="仿宋" w:eastAsia="方正小标宋简体"/>
          <w:b w:val="0"/>
          <w:color w:val="333333"/>
          <w:sz w:val="44"/>
          <w:szCs w:val="44"/>
        </w:rPr>
        <w:t>国家发展改革委办公厅关于做好盘活存量资产扩大有效投资有关工作的通知</w:t>
      </w:r>
    </w:p>
    <w:bookmarkEnd w:id="0"/>
    <w:p>
      <w:pPr>
        <w:widowControl/>
        <w:shd w:val="clear" w:color="auto" w:fill="FFFFFF"/>
        <w:spacing w:line="560" w:lineRule="exact"/>
        <w:jc w:val="center"/>
        <w:rPr>
          <w:rFonts w:ascii="仿宋" w:hAnsi="仿宋" w:eastAsia="仿宋" w:cs="Arial"/>
          <w:color w:val="565862"/>
          <w:kern w:val="0"/>
          <w:sz w:val="32"/>
          <w:szCs w:val="32"/>
        </w:rPr>
      </w:pPr>
    </w:p>
    <w:p>
      <w:pPr>
        <w:widowControl/>
        <w:shd w:val="clear" w:color="auto" w:fill="FFFFFF"/>
        <w:spacing w:line="560" w:lineRule="exact"/>
        <w:jc w:val="center"/>
        <w:rPr>
          <w:rFonts w:ascii="仿宋" w:hAnsi="仿宋" w:eastAsia="仿宋" w:cs="宋体"/>
          <w:color w:val="333333"/>
          <w:kern w:val="0"/>
          <w:sz w:val="32"/>
          <w:szCs w:val="32"/>
        </w:rPr>
      </w:pPr>
      <w:r>
        <w:rPr>
          <w:rFonts w:ascii="仿宋" w:hAnsi="仿宋" w:eastAsia="仿宋" w:cs="Arial"/>
          <w:color w:val="565862"/>
          <w:kern w:val="0"/>
          <w:sz w:val="32"/>
          <w:szCs w:val="32"/>
        </w:rPr>
        <w:t>发改办投资〔2022〕561号</w:t>
      </w:r>
    </w:p>
    <w:p>
      <w:pPr>
        <w:widowControl/>
        <w:spacing w:line="560" w:lineRule="exact"/>
        <w:ind w:firstLine="640" w:firstLineChars="200"/>
        <w:jc w:val="left"/>
        <w:rPr>
          <w:rFonts w:hint="eastAsia" w:ascii="仿宋" w:hAnsi="仿宋" w:eastAsia="仿宋" w:cs="宋体"/>
          <w:kern w:val="0"/>
          <w:sz w:val="32"/>
          <w:szCs w:val="32"/>
        </w:rPr>
      </w:pPr>
      <w:r>
        <w:rPr>
          <w:rFonts w:ascii="仿宋" w:hAnsi="仿宋" w:eastAsia="仿宋" w:cs="Arial"/>
          <w:color w:val="565862"/>
          <w:kern w:val="0"/>
          <w:sz w:val="32"/>
          <w:szCs w:val="32"/>
        </w:rPr>
        <w:br w:type="textWrapping"/>
      </w:r>
      <w:r>
        <w:rPr>
          <w:rFonts w:hint="eastAsia" w:ascii="仿宋" w:hAnsi="仿宋" w:eastAsia="仿宋" w:cs="宋体"/>
          <w:color w:val="565862"/>
          <w:kern w:val="0"/>
          <w:sz w:val="32"/>
          <w:szCs w:val="32"/>
          <w:shd w:val="clear" w:color="auto" w:fill="FFFFFF"/>
        </w:rPr>
        <w:t>各省、自治区、直辖市及计划单列市、新疆生产建设兵团发展改革委：</w:t>
      </w:r>
      <w:r>
        <w:rPr>
          <w:rFonts w:ascii="仿宋" w:hAnsi="仿宋" w:eastAsia="仿宋" w:cs="Arial"/>
          <w:color w:val="565862"/>
          <w:kern w:val="0"/>
          <w:sz w:val="32"/>
          <w:szCs w:val="32"/>
        </w:rPr>
        <w:br w:type="textWrapping"/>
      </w:r>
      <w:r>
        <w:rPr>
          <w:rFonts w:hint="eastAsia" w:ascii="仿宋" w:hAnsi="仿宋" w:eastAsia="仿宋" w:cs="Arial"/>
          <w:color w:val="565862"/>
          <w:kern w:val="0"/>
          <w:sz w:val="32"/>
          <w:szCs w:val="32"/>
        </w:rPr>
        <w:t xml:space="preserve">    </w:t>
      </w:r>
      <w:r>
        <w:rPr>
          <w:rFonts w:hint="eastAsia" w:ascii="仿宋" w:hAnsi="仿宋" w:eastAsia="仿宋" w:cs="宋体"/>
          <w:color w:val="565862"/>
          <w:kern w:val="0"/>
          <w:sz w:val="32"/>
          <w:szCs w:val="32"/>
          <w:shd w:val="clear" w:color="auto" w:fill="FFFFFF"/>
        </w:rPr>
        <w:t>近日，国务院办公厅印发《关于进一步盘活存量资产扩大有效投资的意见》（国办发〔2022〕19号，以下简称《意见》）。为切实做好《意见》贯彻落实工作，推动盘活存量资产、扩大有效投资，现就有关工作通知如下。</w:t>
      </w:r>
      <w:r>
        <w:rPr>
          <w:rFonts w:ascii="仿宋" w:eastAsia="仿宋"/>
          <w:color w:val="565862"/>
          <w:kern w:val="0"/>
          <w:sz w:val="32"/>
          <w:szCs w:val="32"/>
          <w:shd w:val="clear" w:color="auto" w:fill="FFFFFF"/>
        </w:rPr>
        <w:t>  </w:t>
      </w:r>
      <w:r>
        <w:rPr>
          <w:rFonts w:ascii="仿宋" w:hAnsi="仿宋" w:eastAsia="仿宋" w:cs="Arial"/>
          <w:color w:val="565862"/>
          <w:kern w:val="0"/>
          <w:sz w:val="32"/>
          <w:szCs w:val="32"/>
        </w:rPr>
        <w:br w:type="textWrapping"/>
      </w:r>
      <w:r>
        <w:rPr>
          <w:rFonts w:ascii="黑体" w:eastAsia="黑体"/>
          <w:color w:val="565862"/>
          <w:kern w:val="0"/>
          <w:sz w:val="32"/>
          <w:szCs w:val="32"/>
          <w:shd w:val="clear" w:color="auto" w:fill="FFFFFF"/>
        </w:rPr>
        <w:t>  </w:t>
      </w:r>
      <w:r>
        <w:rPr>
          <w:rFonts w:ascii="黑体" w:hAnsi="黑体" w:eastAsia="黑体" w:cs="Arial"/>
          <w:bCs/>
          <w:color w:val="565862"/>
          <w:kern w:val="0"/>
          <w:sz w:val="32"/>
          <w:szCs w:val="32"/>
        </w:rPr>
        <w:t>一、建立协调机制，统筹推动盘活存量资产工作</w:t>
      </w:r>
      <w:r>
        <w:rPr>
          <w:rFonts w:ascii="黑体" w:hAnsi="黑体" w:eastAsia="黑体" w:cs="Arial"/>
          <w:color w:val="565862"/>
          <w:kern w:val="0"/>
          <w:sz w:val="32"/>
          <w:szCs w:val="32"/>
        </w:rPr>
        <w:br w:type="textWrapping"/>
      </w:r>
      <w:r>
        <w:rPr>
          <w:rFonts w:hint="eastAsia" w:ascii="仿宋" w:hAnsi="仿宋" w:eastAsia="仿宋" w:cs="Arial"/>
          <w:color w:val="565862"/>
          <w:kern w:val="0"/>
          <w:sz w:val="32"/>
          <w:szCs w:val="32"/>
        </w:rPr>
        <w:t xml:space="preserve">    </w:t>
      </w:r>
      <w:r>
        <w:rPr>
          <w:rFonts w:hint="eastAsia" w:ascii="仿宋" w:hAnsi="仿宋" w:eastAsia="仿宋" w:cs="宋体"/>
          <w:color w:val="565862"/>
          <w:kern w:val="0"/>
          <w:sz w:val="32"/>
          <w:szCs w:val="32"/>
          <w:shd w:val="clear" w:color="auto" w:fill="FFFFFF"/>
        </w:rPr>
        <w:t>各地发展改革部门要按照《意见》要求，在当地人民政府指导下，充分发挥统筹协调作用，会同本地区财政、自然资源、住房城乡建设、人民银行、国资监管、税务、银保监、证监等部门，建立完善盘活存量资产扩大有效投资工作机制，加强信息沟通和政策衔接，协调解决共性问题，形成工作合力。要明确本地区有关部门和单位责任分工，加强指导督促，推动将《意见》相关政策措施落到实处。</w:t>
      </w:r>
      <w:r>
        <w:rPr>
          <w:rFonts w:ascii="仿宋" w:eastAsia="仿宋"/>
          <w:color w:val="565862"/>
          <w:kern w:val="0"/>
          <w:sz w:val="32"/>
          <w:szCs w:val="32"/>
          <w:shd w:val="clear" w:color="auto" w:fill="FFFFFF"/>
        </w:rPr>
        <w:t>  </w:t>
      </w:r>
      <w:r>
        <w:rPr>
          <w:rFonts w:ascii="仿宋" w:hAnsi="仿宋" w:eastAsia="仿宋" w:cs="Arial"/>
          <w:color w:val="565862"/>
          <w:kern w:val="0"/>
          <w:sz w:val="32"/>
          <w:szCs w:val="32"/>
        </w:rPr>
        <w:br w:type="textWrapping"/>
      </w:r>
      <w:r>
        <w:rPr>
          <w:rFonts w:ascii="黑体" w:eastAsia="黑体"/>
          <w:color w:val="565862"/>
          <w:kern w:val="0"/>
          <w:sz w:val="32"/>
          <w:szCs w:val="32"/>
          <w:shd w:val="clear" w:color="auto" w:fill="FFFFFF"/>
        </w:rPr>
        <w:t>  二、建立盘活存量资产台账，精准有力抓好项目实施</w:t>
      </w:r>
      <w:r>
        <w:rPr>
          <w:rFonts w:ascii="黑体" w:eastAsia="黑体"/>
          <w:color w:val="565862"/>
          <w:kern w:val="0"/>
          <w:sz w:val="32"/>
          <w:szCs w:val="32"/>
          <w:shd w:val="clear" w:color="auto" w:fill="FFFFFF"/>
        </w:rPr>
        <w:br w:type="textWrapping"/>
      </w:r>
      <w:r>
        <w:rPr>
          <w:rFonts w:hint="eastAsia" w:ascii="黑体" w:eastAsia="黑体"/>
          <w:color w:val="565862"/>
          <w:kern w:val="0"/>
          <w:sz w:val="32"/>
          <w:szCs w:val="32"/>
          <w:shd w:val="clear" w:color="auto" w:fill="FFFFFF"/>
        </w:rPr>
        <w:t xml:space="preserve">    </w:t>
      </w:r>
      <w:r>
        <w:rPr>
          <w:rFonts w:hint="eastAsia" w:ascii="仿宋" w:hAnsi="仿宋" w:eastAsia="仿宋" w:cs="宋体"/>
          <w:color w:val="565862"/>
          <w:kern w:val="0"/>
          <w:sz w:val="32"/>
          <w:szCs w:val="32"/>
          <w:shd w:val="clear" w:color="auto" w:fill="FFFFFF"/>
        </w:rPr>
        <w:t>各省级发展改革委要按照《意见》明确的重点领域、重点区域、重点企业，协调各市县和相关部门等，全面梳理本地区存量资产情况，汇总筛选出具备盘活条件的项目，建立省级盘活存量资产台账，实行动态管理。要根据项目基本情况，督促明确项目盘活方案，落实责任单位和责任人，及时掌握项目进展，解决推进问题。我委将对建立盘活存量资产台账工作明确具体要求，适时调度台账建立及项目推进情况，确保相关工作落实落细。</w:t>
      </w:r>
      <w:r>
        <w:rPr>
          <w:rFonts w:ascii="仿宋" w:eastAsia="仿宋"/>
          <w:color w:val="565862"/>
          <w:kern w:val="0"/>
          <w:sz w:val="32"/>
          <w:szCs w:val="32"/>
          <w:shd w:val="clear" w:color="auto" w:fill="FFFFFF"/>
        </w:rPr>
        <w:t>  </w:t>
      </w:r>
      <w:r>
        <w:rPr>
          <w:rFonts w:ascii="仿宋" w:hAnsi="仿宋" w:eastAsia="仿宋" w:cs="Arial"/>
          <w:color w:val="565862"/>
          <w:kern w:val="0"/>
          <w:sz w:val="32"/>
          <w:szCs w:val="32"/>
        </w:rPr>
        <w:br w:type="textWrapping"/>
      </w:r>
      <w:r>
        <w:rPr>
          <w:rFonts w:ascii="黑体" w:eastAsia="黑体"/>
          <w:color w:val="565862"/>
          <w:kern w:val="0"/>
          <w:sz w:val="32"/>
          <w:szCs w:val="32"/>
          <w:shd w:val="clear" w:color="auto" w:fill="FFFFFF"/>
        </w:rPr>
        <w:t>  三、灵活采取多种方式，有效盘活不同类型存量资产</w:t>
      </w:r>
      <w:r>
        <w:rPr>
          <w:rFonts w:ascii="黑体" w:eastAsia="黑体"/>
          <w:color w:val="565862"/>
          <w:kern w:val="0"/>
          <w:sz w:val="32"/>
          <w:szCs w:val="32"/>
          <w:shd w:val="clear" w:color="auto" w:fill="FFFFFF"/>
        </w:rPr>
        <w:br w:type="textWrapping"/>
      </w:r>
      <w:r>
        <w:rPr>
          <w:rFonts w:hint="eastAsia" w:ascii="黑体" w:eastAsia="黑体"/>
          <w:color w:val="565862"/>
          <w:kern w:val="0"/>
          <w:sz w:val="32"/>
          <w:szCs w:val="32"/>
          <w:shd w:val="clear" w:color="auto" w:fill="FFFFFF"/>
        </w:rPr>
        <w:t xml:space="preserve">    </w:t>
      </w:r>
      <w:r>
        <w:rPr>
          <w:rFonts w:hint="eastAsia" w:ascii="仿宋" w:hAnsi="仿宋" w:eastAsia="仿宋" w:cs="宋体"/>
          <w:color w:val="565862"/>
          <w:kern w:val="0"/>
          <w:sz w:val="32"/>
          <w:szCs w:val="32"/>
          <w:shd w:val="clear" w:color="auto" w:fill="FFFFFF"/>
        </w:rPr>
        <w:t>各地发展改革部门要协调指导有关方面，根据项目实际情况，灵活采取不同方式进行盘活。对具备相关条件的基础设施存量项目，可采取基础设施领域不动产投资信托基金（以下简称基础设施REITs）、政府和社会资本合作（PPP）等方式盘活。对长期闲置但具有较大开发利用价值的老旧厂房、文化体育场馆和闲置土地等资产，可采取资产升级改造与定位转型、加强专业化运营管理等，充分挖掘资产潜在价值，提高回报水平。对具备盘活存量和改扩建有机结合条件的项目，鼓励推广污水处理厂下沉、地铁上盖物业、交通枢纽地上地下空间综合开发等模式，拓宽收入来源，提高资产综合利用价值。对城市老旧资产资源特别是老旧小区改造等项目，可通过精准定位、提升品质、完善用途等丰富资产功能，吸引社会资本参与。此外，可通过产权规范交易、并购重组、不良资产收购处置、混合所有制改革、市场化债转股等方式盘活存量资产，加强存量资产优化整合。</w:t>
      </w:r>
      <w:r>
        <w:rPr>
          <w:rFonts w:ascii="仿宋" w:eastAsia="仿宋"/>
          <w:color w:val="565862"/>
          <w:kern w:val="0"/>
          <w:sz w:val="32"/>
          <w:szCs w:val="32"/>
          <w:shd w:val="clear" w:color="auto" w:fill="FFFFFF"/>
        </w:rPr>
        <w:t>  </w:t>
      </w:r>
      <w:r>
        <w:rPr>
          <w:rFonts w:ascii="仿宋" w:hAnsi="仿宋" w:eastAsia="仿宋" w:cs="Arial"/>
          <w:color w:val="565862"/>
          <w:kern w:val="0"/>
          <w:sz w:val="32"/>
          <w:szCs w:val="32"/>
        </w:rPr>
        <w:br w:type="textWrapping"/>
      </w:r>
      <w:r>
        <w:rPr>
          <w:rFonts w:ascii="黑体" w:eastAsia="黑体"/>
          <w:color w:val="565862"/>
          <w:kern w:val="0"/>
          <w:sz w:val="32"/>
          <w:szCs w:val="32"/>
          <w:shd w:val="clear" w:color="auto" w:fill="FFFFFF"/>
        </w:rPr>
        <w:t> </w:t>
      </w:r>
      <w:r>
        <w:rPr>
          <w:rFonts w:hint="eastAsia" w:ascii="黑体" w:eastAsia="黑体"/>
          <w:color w:val="565862"/>
          <w:kern w:val="0"/>
          <w:sz w:val="32"/>
          <w:szCs w:val="32"/>
          <w:shd w:val="clear" w:color="auto" w:fill="FFFFFF"/>
        </w:rPr>
        <w:t xml:space="preserve">  </w:t>
      </w:r>
      <w:r>
        <w:rPr>
          <w:rFonts w:ascii="黑体" w:eastAsia="黑体"/>
          <w:color w:val="565862"/>
          <w:kern w:val="0"/>
          <w:sz w:val="32"/>
          <w:szCs w:val="32"/>
          <w:shd w:val="clear" w:color="auto" w:fill="FFFFFF"/>
        </w:rPr>
        <w:t>四、推动落实盘活条件，促进项目尽快落地 </w:t>
      </w:r>
      <w:r>
        <w:rPr>
          <w:rFonts w:ascii="黑体" w:eastAsia="黑体"/>
          <w:color w:val="565862"/>
          <w:kern w:val="0"/>
          <w:sz w:val="32"/>
          <w:szCs w:val="32"/>
          <w:shd w:val="clear" w:color="auto" w:fill="FFFFFF"/>
        </w:rPr>
        <w:br w:type="textWrapping"/>
      </w:r>
      <w:r>
        <w:rPr>
          <w:rFonts w:hint="eastAsia" w:ascii="黑体" w:eastAsia="黑体"/>
          <w:color w:val="565862"/>
          <w:kern w:val="0"/>
          <w:sz w:val="32"/>
          <w:szCs w:val="32"/>
          <w:shd w:val="clear" w:color="auto" w:fill="FFFFFF"/>
        </w:rPr>
        <w:t xml:space="preserve">    </w:t>
      </w:r>
      <w:r>
        <w:rPr>
          <w:rFonts w:hint="eastAsia" w:ascii="仿宋" w:hAnsi="仿宋" w:eastAsia="仿宋" w:cs="宋体"/>
          <w:color w:val="565862"/>
          <w:kern w:val="0"/>
          <w:sz w:val="32"/>
          <w:szCs w:val="32"/>
          <w:shd w:val="clear" w:color="auto" w:fill="FFFFFF"/>
        </w:rPr>
        <w:t>各地发展改革部门要切实发挥盘活存量资产扩大有效投资工作机制作用，与有关部门加强沟通协调，针对存量资产项目具体情况，推动分类落实各项盘活条件。对项目前期工作手续不齐全的项目，推动有关方面按规定补办相关手续，加快履行竣工验收等程序。对需要明确收费标准的项目，要加快项目收费标准核定，完善公共服务和公共产品价格动态调整机制。对产权不明晰的项目，依法依规理顺产权关系，完成产权界定，加快办理相关产权登记。对确需调整相关规划或土地、海域用途的项目，推动有关方面充分开展规划实施评估，依法依规履行相关程序，创造条件积极予以支持。对整体收益水平较低的项目，指导开展资产重组，通过将准公益性、经营性项目打包等方式，提升资产吸引力。</w:t>
      </w:r>
      <w:r>
        <w:rPr>
          <w:rFonts w:ascii="仿宋" w:eastAsia="仿宋"/>
          <w:color w:val="565862"/>
          <w:kern w:val="0"/>
          <w:sz w:val="32"/>
          <w:szCs w:val="32"/>
          <w:shd w:val="clear" w:color="auto" w:fill="FFFFFF"/>
        </w:rPr>
        <w:t>  </w:t>
      </w:r>
      <w:r>
        <w:rPr>
          <w:rFonts w:ascii="仿宋" w:hAnsi="仿宋" w:eastAsia="仿宋" w:cs="Arial"/>
          <w:color w:val="565862"/>
          <w:kern w:val="0"/>
          <w:sz w:val="32"/>
          <w:szCs w:val="32"/>
        </w:rPr>
        <w:br w:type="textWrapping"/>
      </w:r>
      <w:r>
        <w:rPr>
          <w:rFonts w:ascii="黑体" w:eastAsia="黑体"/>
          <w:color w:val="565862"/>
          <w:kern w:val="0"/>
          <w:sz w:val="32"/>
          <w:szCs w:val="32"/>
          <w:shd w:val="clear" w:color="auto" w:fill="FFFFFF"/>
        </w:rPr>
        <w:t>  五、加快回收资金使用，有力支持新项目建设</w:t>
      </w:r>
      <w:r>
        <w:rPr>
          <w:rFonts w:ascii="黑体" w:eastAsia="黑体"/>
          <w:color w:val="565862"/>
          <w:kern w:val="0"/>
          <w:sz w:val="32"/>
          <w:szCs w:val="32"/>
          <w:shd w:val="clear" w:color="auto" w:fill="FFFFFF"/>
        </w:rPr>
        <w:br w:type="textWrapping"/>
      </w:r>
      <w:r>
        <w:rPr>
          <w:rFonts w:hint="eastAsia" w:ascii="黑体" w:eastAsia="黑体"/>
          <w:color w:val="565862"/>
          <w:kern w:val="0"/>
          <w:sz w:val="32"/>
          <w:szCs w:val="32"/>
          <w:shd w:val="clear" w:color="auto" w:fill="FFFFFF"/>
        </w:rPr>
        <w:t xml:space="preserve">    </w:t>
      </w:r>
      <w:r>
        <w:rPr>
          <w:rFonts w:hint="eastAsia" w:ascii="仿宋" w:hAnsi="仿宋" w:eastAsia="仿宋" w:cs="宋体"/>
          <w:color w:val="565862"/>
          <w:kern w:val="0"/>
          <w:sz w:val="32"/>
          <w:szCs w:val="32"/>
          <w:shd w:val="clear" w:color="auto" w:fill="FFFFFF"/>
        </w:rPr>
        <w:t>各地发展改革部门要对盘活存量资产回收资金使用情况加强跟踪监督，定期调度回收资金用于重点领域项目建设、形成实物工作量等情况，推动尽快形成有效投资。对回收资金拟投入的新项目，要加快推进项目审批核准备案、规划选址、用地用海、环境影响评价、施工许可等前期工作，促进项目尽快开工建设，尽早发挥回收资金效益。对使用回收资金建设的投资项目，在安排中央预算内投资、地方政府投资资金时，可在同等条件下给予优先支持，也可按规定通过地方政府专项债券予以支持。</w:t>
      </w:r>
      <w:r>
        <w:rPr>
          <w:rFonts w:ascii="仿宋" w:eastAsia="仿宋"/>
          <w:color w:val="565862"/>
          <w:kern w:val="0"/>
          <w:sz w:val="32"/>
          <w:szCs w:val="32"/>
          <w:shd w:val="clear" w:color="auto" w:fill="FFFFFF"/>
        </w:rPr>
        <w:t>  </w:t>
      </w:r>
      <w:r>
        <w:rPr>
          <w:rFonts w:ascii="仿宋" w:hAnsi="仿宋" w:eastAsia="仿宋" w:cs="Arial"/>
          <w:color w:val="565862"/>
          <w:kern w:val="0"/>
          <w:sz w:val="32"/>
          <w:szCs w:val="32"/>
        </w:rPr>
        <w:br w:type="textWrapping"/>
      </w:r>
      <w:r>
        <w:rPr>
          <w:rFonts w:ascii="黑体" w:eastAsia="黑体"/>
          <w:color w:val="565862"/>
          <w:kern w:val="0"/>
          <w:sz w:val="32"/>
          <w:szCs w:val="32"/>
          <w:shd w:val="clear" w:color="auto" w:fill="FFFFFF"/>
        </w:rPr>
        <w:t>  六、加大配套政策支持力度，扎实推动存量资产盘活</w:t>
      </w:r>
      <w:r>
        <w:rPr>
          <w:rFonts w:ascii="黑体" w:eastAsia="黑体"/>
          <w:color w:val="565862"/>
          <w:kern w:val="0"/>
          <w:sz w:val="32"/>
          <w:szCs w:val="32"/>
          <w:shd w:val="clear" w:color="auto" w:fill="FFFFFF"/>
        </w:rPr>
        <w:br w:type="textWrapping"/>
      </w:r>
      <w:r>
        <w:rPr>
          <w:rFonts w:hint="eastAsia" w:ascii="黑体" w:eastAsia="黑体"/>
          <w:color w:val="565862"/>
          <w:kern w:val="0"/>
          <w:sz w:val="32"/>
          <w:szCs w:val="32"/>
          <w:shd w:val="clear" w:color="auto" w:fill="FFFFFF"/>
        </w:rPr>
        <w:t xml:space="preserve">    </w:t>
      </w:r>
      <w:r>
        <w:rPr>
          <w:rFonts w:hint="eastAsia" w:ascii="仿宋" w:hAnsi="仿宋" w:eastAsia="仿宋" w:cs="宋体"/>
          <w:color w:val="565862"/>
          <w:kern w:val="0"/>
          <w:sz w:val="32"/>
          <w:szCs w:val="32"/>
          <w:shd w:val="clear" w:color="auto" w:fill="FFFFFF"/>
        </w:rPr>
        <w:t>各地发展改革部门在开展投融资合作对接工作时，应将盘活存量资产作为重点内容，积极推介有关项目。支持金融资产管理公司、金融资产投资公司以及国有资本投资、运营公司等参与盘活存量资产。鼓励银行等金融机构按照市场化原则为回收资金投入的新项目提供融资支持。鼓励结合本地区实际情况，因地制宜研究制定盘活存量资产的有效措施，出台相关文件，推动本地区有关机构积极盘活存量资产、扩大有效投资。盘活存量资产时应对各类市场主体一视同仁，鼓励民营企业根据实际情况，参与盘活国有存量资产，积极盘活自身存量资产，促进实现持续健康发展。</w:t>
      </w:r>
      <w:r>
        <w:rPr>
          <w:rFonts w:ascii="仿宋" w:eastAsia="仿宋"/>
          <w:color w:val="565862"/>
          <w:kern w:val="0"/>
          <w:sz w:val="32"/>
          <w:szCs w:val="32"/>
          <w:shd w:val="clear" w:color="auto" w:fill="FFFFFF"/>
        </w:rPr>
        <w:t>  </w:t>
      </w:r>
      <w:r>
        <w:rPr>
          <w:rFonts w:ascii="仿宋" w:hAnsi="仿宋" w:eastAsia="仿宋" w:cs="Arial"/>
          <w:color w:val="565862"/>
          <w:kern w:val="0"/>
          <w:sz w:val="32"/>
          <w:szCs w:val="32"/>
        </w:rPr>
        <w:br w:type="textWrapping"/>
      </w:r>
      <w:r>
        <w:rPr>
          <w:rFonts w:ascii="黑体" w:eastAsia="黑体"/>
          <w:color w:val="565862"/>
          <w:kern w:val="0"/>
          <w:sz w:val="32"/>
          <w:szCs w:val="32"/>
          <w:shd w:val="clear" w:color="auto" w:fill="FFFFFF"/>
        </w:rPr>
        <w:t>  七、开展试点示范，发挥典型案例引导带动作用</w:t>
      </w:r>
      <w:r>
        <w:rPr>
          <w:rFonts w:ascii="黑体" w:eastAsia="黑体"/>
          <w:color w:val="565862"/>
          <w:kern w:val="0"/>
          <w:sz w:val="32"/>
          <w:szCs w:val="32"/>
          <w:shd w:val="clear" w:color="auto" w:fill="FFFFFF"/>
        </w:rPr>
        <w:br w:type="textWrapping"/>
      </w:r>
      <w:r>
        <w:rPr>
          <w:rFonts w:hint="eastAsia" w:ascii="黑体" w:eastAsia="黑体"/>
          <w:color w:val="565862"/>
          <w:kern w:val="0"/>
          <w:sz w:val="32"/>
          <w:szCs w:val="32"/>
          <w:shd w:val="clear" w:color="auto" w:fill="FFFFFF"/>
        </w:rPr>
        <w:t xml:space="preserve">    </w:t>
      </w:r>
      <w:r>
        <w:rPr>
          <w:rFonts w:hint="eastAsia" w:ascii="仿宋" w:hAnsi="仿宋" w:eastAsia="仿宋" w:cs="宋体"/>
          <w:color w:val="565862"/>
          <w:kern w:val="0"/>
          <w:sz w:val="32"/>
          <w:szCs w:val="32"/>
          <w:shd w:val="clear" w:color="auto" w:fill="FFFFFF"/>
        </w:rPr>
        <w:t>各省级发展改革委要积极鼓励符合条件的项目发行基础设施REITs，宣传推广已发行基础设施REITs项目的经验做法，发挥示范带动作用，调动有关方面参与积极性。积极做好项目储备，按统一安排向我委推荐有吸引力、代表性强的盘活存量资产项目，我委将从中确定不少于30个项目进行试点示范。各地也可自行选择有代表性的存量项目开展盘活试点，形成可复制、可推广的经验做法。对已成功盘活的存量项目，可从盘活方式、存量资产与新建项目联动推进、回收资金使用、主要矛盾化解、收入来源拓宽等方面，总结推广典型经验，不断提高各方面盘活存量资产能力。</w:t>
      </w:r>
      <w:r>
        <w:rPr>
          <w:rFonts w:ascii="仿宋" w:eastAsia="仿宋"/>
          <w:color w:val="565862"/>
          <w:kern w:val="0"/>
          <w:sz w:val="32"/>
          <w:szCs w:val="32"/>
          <w:shd w:val="clear" w:color="auto" w:fill="FFFFFF"/>
        </w:rPr>
        <w:t>  </w:t>
      </w:r>
      <w:r>
        <w:rPr>
          <w:rFonts w:ascii="仿宋" w:hAnsi="仿宋" w:eastAsia="仿宋" w:cs="Arial"/>
          <w:color w:val="565862"/>
          <w:kern w:val="0"/>
          <w:sz w:val="32"/>
          <w:szCs w:val="32"/>
        </w:rPr>
        <w:br w:type="textWrapping"/>
      </w:r>
      <w:r>
        <w:rPr>
          <w:rFonts w:ascii="黑体" w:eastAsia="黑体"/>
          <w:color w:val="565862"/>
          <w:kern w:val="0"/>
          <w:sz w:val="32"/>
          <w:szCs w:val="32"/>
          <w:shd w:val="clear" w:color="auto" w:fill="FFFFFF"/>
        </w:rPr>
        <w:t>  八、加强宣传引导和督促激励，充分调动参与积极性</w:t>
      </w:r>
      <w:r>
        <w:rPr>
          <w:rFonts w:ascii="黑体" w:eastAsia="黑体"/>
          <w:color w:val="565862"/>
          <w:kern w:val="0"/>
          <w:sz w:val="32"/>
          <w:szCs w:val="32"/>
          <w:shd w:val="clear" w:color="auto" w:fill="FFFFFF"/>
        </w:rPr>
        <w:br w:type="textWrapping"/>
      </w:r>
      <w:r>
        <w:rPr>
          <w:rFonts w:hint="eastAsia" w:ascii="黑体" w:eastAsia="黑体"/>
          <w:color w:val="565862"/>
          <w:kern w:val="0"/>
          <w:sz w:val="32"/>
          <w:szCs w:val="32"/>
          <w:shd w:val="clear" w:color="auto" w:fill="FFFFFF"/>
        </w:rPr>
        <w:t xml:space="preserve">    </w:t>
      </w:r>
      <w:r>
        <w:rPr>
          <w:rFonts w:hint="eastAsia" w:ascii="仿宋" w:hAnsi="仿宋" w:eastAsia="仿宋" w:cs="宋体"/>
          <w:color w:val="565862"/>
          <w:kern w:val="0"/>
          <w:sz w:val="32"/>
          <w:szCs w:val="32"/>
          <w:shd w:val="clear" w:color="auto" w:fill="FFFFFF"/>
        </w:rPr>
        <w:t>各地发展改革部门要切实加强宣传引导，推动有关方面充分认识盘活存量资产在防范和化解地方政府隐性债务风险、提高企业再投资能力、提升基础设施运营效率等方面的积极作用，调动参与盘活存量资产的积极性。适时组织行业管理部门、存量资产持有人和金融机构等开展业务培训，解读相关政策规定，介绍盘活存量资产的方式方法，宣传典型案例，提升操作水平。加强督促激励，对工作成效突出的地区或单位以适当方式给予激励，对资产长期闲置、盘活进展不力的加大督促力度，推动切实抓好盘活存量资产工作，为扩大有效投资、稳定经济增长作出积极贡献。</w:t>
      </w:r>
      <w:r>
        <w:rPr>
          <w:rFonts w:ascii="仿宋" w:eastAsia="仿宋"/>
          <w:color w:val="565862"/>
          <w:kern w:val="0"/>
          <w:sz w:val="32"/>
          <w:szCs w:val="32"/>
          <w:shd w:val="clear" w:color="auto" w:fill="FFFFFF"/>
        </w:rPr>
        <w:t>  </w:t>
      </w:r>
      <w:r>
        <w:rPr>
          <w:rFonts w:ascii="仿宋" w:hAnsi="仿宋" w:eastAsia="仿宋" w:cs="Arial"/>
          <w:color w:val="565862"/>
          <w:kern w:val="0"/>
          <w:sz w:val="32"/>
          <w:szCs w:val="32"/>
        </w:rPr>
        <w:br w:type="textWrapping"/>
      </w:r>
      <w:r>
        <w:rPr>
          <w:rFonts w:hint="eastAsia" w:ascii="仿宋" w:hAnsi="仿宋" w:eastAsia="仿宋" w:cs="宋体"/>
          <w:color w:val="565862"/>
          <w:kern w:val="0"/>
          <w:sz w:val="32"/>
          <w:szCs w:val="32"/>
          <w:shd w:val="clear" w:color="auto" w:fill="FFFFFF"/>
        </w:rPr>
        <w:t>特此通知。</w:t>
      </w:r>
      <w:r>
        <w:rPr>
          <w:rFonts w:ascii="仿宋" w:eastAsia="仿宋"/>
          <w:color w:val="565862"/>
          <w:kern w:val="0"/>
          <w:sz w:val="32"/>
          <w:szCs w:val="32"/>
          <w:shd w:val="clear" w:color="auto" w:fill="FFFFFF"/>
        </w:rPr>
        <w:t>  </w:t>
      </w:r>
      <w:r>
        <w:rPr>
          <w:rFonts w:ascii="仿宋" w:hAnsi="仿宋" w:eastAsia="仿宋" w:cs="Arial"/>
          <w:color w:val="565862"/>
          <w:kern w:val="0"/>
          <w:sz w:val="32"/>
          <w:szCs w:val="32"/>
        </w:rPr>
        <w:br w:type="textWrapping"/>
      </w:r>
    </w:p>
    <w:p>
      <w:pPr>
        <w:widowControl/>
        <w:shd w:val="clear" w:color="auto" w:fill="FFFFFF"/>
        <w:spacing w:line="560" w:lineRule="exact"/>
        <w:ind w:firstLine="640" w:firstLineChars="200"/>
        <w:jc w:val="center"/>
        <w:rPr>
          <w:rFonts w:ascii="仿宋" w:hAnsi="仿宋" w:eastAsia="仿宋" w:cs="Arial"/>
          <w:color w:val="565862"/>
          <w:kern w:val="0"/>
          <w:sz w:val="32"/>
          <w:szCs w:val="32"/>
        </w:rPr>
      </w:pPr>
      <w:r>
        <w:rPr>
          <w:rFonts w:hint="eastAsia" w:ascii="仿宋" w:hAnsi="仿宋" w:eastAsia="仿宋" w:cs="Arial"/>
          <w:color w:val="565862"/>
          <w:kern w:val="0"/>
          <w:sz w:val="32"/>
          <w:szCs w:val="32"/>
        </w:rPr>
        <w:t xml:space="preserve">                国家发展改革委办公厅</w:t>
      </w:r>
    </w:p>
    <w:p>
      <w:pPr>
        <w:widowControl/>
        <w:spacing w:line="560" w:lineRule="exact"/>
        <w:ind w:firstLine="640" w:firstLineChars="200"/>
        <w:jc w:val="center"/>
        <w:rPr>
          <w:rFonts w:ascii="仿宋" w:hAnsi="仿宋" w:eastAsia="仿宋" w:cs="Arial"/>
          <w:color w:val="565862"/>
          <w:kern w:val="0"/>
          <w:sz w:val="32"/>
          <w:szCs w:val="32"/>
          <w:shd w:val="clear" w:color="auto" w:fill="FFFFFF"/>
        </w:rPr>
      </w:pPr>
      <w:r>
        <w:rPr>
          <w:rFonts w:hint="eastAsia" w:ascii="仿宋" w:hAnsi="仿宋" w:eastAsia="仿宋" w:cs="Arial"/>
          <w:color w:val="565862"/>
          <w:kern w:val="0"/>
          <w:sz w:val="32"/>
          <w:szCs w:val="32"/>
          <w:shd w:val="clear" w:color="auto" w:fill="FFFFFF"/>
        </w:rPr>
        <w:t xml:space="preserve">               2022年6月19日</w:t>
      </w:r>
    </w:p>
    <w:p>
      <w:pPr>
        <w:spacing w:line="560" w:lineRule="exact"/>
        <w:ind w:firstLine="640" w:firstLineChars="200"/>
        <w:rPr>
          <w:rFonts w:ascii="仿宋" w:hAnsi="仿宋" w:eastAsia="仿宋"/>
          <w:sz w:val="32"/>
          <w:szCs w:val="32"/>
        </w:rPr>
        <w:sectPr>
          <w:pgSz w:w="11906" w:h="16838"/>
          <w:pgMar w:top="1440" w:right="1800" w:bottom="1440" w:left="180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zNTA2NzI2YTJiNjhkOTA0YjI1ZjRhMDc5MTVmYTUifQ=="/>
  </w:docVars>
  <w:rsids>
    <w:rsidRoot w:val="085B0204"/>
    <w:rsid w:val="085B0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2022-11-30T08:41:00Z</dcterms:created>
  <dc:creator>zj</dc:creator>
  <cp:lastModifiedBy>zj</cp:lastModifiedBy>
  <dcterms:modified xsi:type="dcterms:W3CDTF">2022-11-30T08:46:48Z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74F13876C244400BAFCDD597B0C72397</vt:lpwstr>
  </property>
</Properties>
</file>