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  <w:t>晋城市城区人民政府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本</w:t>
      </w:r>
      <w:r>
        <w:rPr>
          <w:rFonts w:hint="eastAsia" w:ascii="方正小标宋简体" w:hAnsi="仿宋" w:eastAsia="方正小标宋简体"/>
          <w:sz w:val="44"/>
          <w:szCs w:val="44"/>
        </w:rPr>
        <w:t>级财政预算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0"/>
          <w:szCs w:val="30"/>
          <w:shd w:val="clear" w:color="auto" w:fill="auto"/>
        </w:rPr>
      </w:pPr>
      <w:r>
        <w:rPr>
          <w:rFonts w:hint="eastAsia" w:ascii="方正小标宋简体" w:hAnsi="仿宋" w:eastAsia="方正小标宋简体"/>
          <w:sz w:val="44"/>
          <w:szCs w:val="44"/>
        </w:rPr>
        <w:t>调整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方案（草案）</w:t>
      </w:r>
      <w:r>
        <w:rPr>
          <w:rFonts w:hint="eastAsia" w:ascii="方正小标宋简体" w:hAnsi="仿宋" w:eastAsia="方正小标宋简体"/>
          <w:sz w:val="44"/>
          <w:szCs w:val="44"/>
        </w:rPr>
        <w:t>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—2023年8月18日在区十届人大常委会第十七次会议上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区财政局局长  暴晋忠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主任、副主任、各位委员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政府委托，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我向本次常委会报告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年区本级财政预算调整方案（草案）的报告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，请予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按照预算法第六十七条“地方各级预算在执行中出现需要增加或者减少预算总支出的、需要调入预算稳定调节基金的、需要调减预算安排的重点支出数额的、增加举借债务数额的，应当进行预算调整。”的规定，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年因新增政府专项债券和上级一般转移支付增加等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因素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，需对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年区级预算进行调整。现将具体调整方案报告如下：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地方政府债务调整方案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2022年底，全区政府债务限额为19.2316亿元，其中：一般债务6.6116亿元，专项债务12.62亿元。全区政府债务余额19.2316亿元，其中：一般债务余额6.6116亿元，专项债务余额12.62亿元。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2023年年初，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我区新增地方政府专项债务限额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1.09亿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元，主要用于第二批老旧小区改造。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争取了第二批老旧小区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0.59亿元专项债券，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一般债券0.08亿元，用于文物保护。8月份，下达一般债券40万元，用于水利基础设施建设。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综上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我区新增地方政府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1.764亿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：专项债券1.68亿元，主要用于第二批老旧小区改造；一般债券0.084亿元，用于文物保护和水利基础设施建设。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目前全区政府债务余额20.9956亿元，其中：一般债务余额6.6956亿元，专项债务余额14.3亿元。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二、2023年一般公共预算调整方案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一般公共预算收入由年初预算的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30.7334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32.6874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亿元。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Hans"/>
        </w:rPr>
        <w:t>主要是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上级补助收入增加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元，一般债券增加0.084亿元。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一般公共预算支出由年初预算的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30.7334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亿元（本级支出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30.1763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亿元；上解上级支出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0.5571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亿元）调整为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32.6874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亿元（本级支出调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32.1303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亿元），增加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新增上级转移支付中，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除专项转移支付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财力为0.5亿元。（附件1：晋城市城区2023年预算调整情况总表）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三、2023年政府性基金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政府性基金收入预算调整方案。在年初预算的基础上，由于新增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，政府性基金预算总收入由年初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的11.2984亿元调整为12.3384亿元，调增1.04亿元。主要调增项目是上级转移支付增加0.45亿元，专项债券资金增加0.59亿元。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性基金支出预算调整方案。在年初预算的基础上，政府性基金预算总支出由11.2984亿元调整为12.3384亿元，调增1.04亿元,主要是第二批老旧小区支出0.59亿元，景西南路回迁楼1667万元，中原街回迁楼2520万元。（附件1：晋城市城区2023年预算调整情况总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四、调整（调剂）和盘活财政存量资金统筹安排情况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区政府年初批准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的项目中，因财力缺口未安排的项目和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区委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实施的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重点项目，除部分项目使用新增财力0.5亿元安排外，其余项目拟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采取调整（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存量资金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等方式予以保障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共安排0.99亿元。（附件2：晋城市城区2023年调整（调剂）和盘活存量资金统筹情况表）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主任、副主任，各位委员，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面对后半年经济发展的不确定性和财政收支矛盾的不断加剧，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财税部门将继续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扎实开展工作，多渠道组织收入，确保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完成全年一般公共预算收入目标。同时积极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开源节流，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坚决落实政府过“紧日子”的要求，继续压减一般性支出，统筹各项资金，把有限的资金用于落实好各项民生政策和区委区政府重大决策部署，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抓好预算执行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收支平衡。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以上报告，请予审议。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晋城市城区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6" w:leftChars="760" w:right="0" w:rightChars="0" w:hanging="320" w:hangingChars="1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晋城市城区2023年调整（调剂）和盘活存量资金统筹情况表</w:t>
      </w:r>
    </w:p>
    <w:p/>
    <w:sectPr>
      <w:footerReference r:id="rId3" w:type="default"/>
      <w:pgSz w:w="11906" w:h="16838"/>
      <w:pgMar w:top="2098" w:right="1519" w:bottom="1984" w:left="1633" w:header="851" w:footer="121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MWQ5NDRhNGI3ZDZlMjhkYzFhNWFhOTI0NWYxZjMifQ=="/>
  </w:docVars>
  <w:rsids>
    <w:rsidRoot w:val="4D1548D5"/>
    <w:rsid w:val="00697D2A"/>
    <w:rsid w:val="08053EFD"/>
    <w:rsid w:val="1FB63489"/>
    <w:rsid w:val="2E624C78"/>
    <w:rsid w:val="316A3475"/>
    <w:rsid w:val="33F009AE"/>
    <w:rsid w:val="37AA073E"/>
    <w:rsid w:val="3B371C7D"/>
    <w:rsid w:val="3CF413A3"/>
    <w:rsid w:val="3D304BBA"/>
    <w:rsid w:val="401B6692"/>
    <w:rsid w:val="46AB2B3A"/>
    <w:rsid w:val="48387A2E"/>
    <w:rsid w:val="495D4698"/>
    <w:rsid w:val="49B26471"/>
    <w:rsid w:val="49D56585"/>
    <w:rsid w:val="4A1D01AD"/>
    <w:rsid w:val="4C365096"/>
    <w:rsid w:val="4D1548D5"/>
    <w:rsid w:val="55F14746"/>
    <w:rsid w:val="5781368F"/>
    <w:rsid w:val="5B252DE7"/>
    <w:rsid w:val="64790929"/>
    <w:rsid w:val="77682EFB"/>
    <w:rsid w:val="777234E1"/>
    <w:rsid w:val="7A9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0" w:firstLineChars="200"/>
    </w:pPr>
    <w:rPr>
      <w:rFonts w:ascii="仿宋_GB2312" w:hAns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next w:val="5"/>
    <w:qFormat/>
    <w:uiPriority w:val="0"/>
    <w:pPr>
      <w:ind w:left="200" w:leftChars="200" w:firstLine="200" w:firstLineChars="200"/>
    </w:pPr>
    <w:rPr>
      <w:rFonts w:ascii="Calibri" w:hAnsi="Calibri" w:eastAsia="宋体" w:cs="Times New Roman"/>
    </w:rPr>
  </w:style>
  <w:style w:type="paragraph" w:customStyle="1" w:styleId="10">
    <w:name w:val="正文文本缩进1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2743</Words>
  <Characters>3132</Characters>
  <Lines>0</Lines>
  <Paragraphs>0</Paragraphs>
  <TotalTime>0</TotalTime>
  <ScaleCrop>false</ScaleCrop>
  <LinksUpToDate>false</LinksUpToDate>
  <CharactersWithSpaces>3152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2022-09-21T01:10:00Z</dcterms:created>
  <dc:creator>Administrator</dc:creator>
  <cp:lastModifiedBy>贾婷婷</cp:lastModifiedBy>
  <cp:lastPrinted>2022-09-29T02:35:00Z</cp:lastPrinted>
  <dcterms:modified xsi:type="dcterms:W3CDTF">2023-08-17T07:14:50Z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62519A205B304BE19F73280B9FE40DDC</vt:lpwstr>
  </property>
</Properties>
</file>